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2"/>
        <w:tblW w:w="85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2265"/>
        <w:gridCol w:w="4260"/>
        <w:gridCol w:w="13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类　别</w:t>
            </w:r>
          </w:p>
        </w:tc>
        <w:tc>
          <w:tcPr>
            <w:tcW w:w="4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描　述</w:t>
            </w: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公开时效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67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spacing w:before="110" w:after="110" w:line="48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概况信息</w:t>
            </w:r>
          </w:p>
          <w:p>
            <w:pPr>
              <w:widowControl/>
              <w:spacing w:before="110" w:after="110" w:line="48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地区（行业）介绍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整体情况的概要介绍</w:t>
            </w: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长期公开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机构设置和职能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设置的所有工作部门、内设机构、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责任分工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长期公开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领导成员和分工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领导责任及分工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长期公开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法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规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政府规章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县政府规章及规范性文件</w:t>
            </w:r>
          </w:p>
          <w:p>
            <w:pPr>
              <w:widowControl/>
              <w:spacing w:before="110" w:after="110"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及时公开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部门文件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及时公开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工作动态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领导活动、会议讲话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参加活动及讲话内容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及时公开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工作部署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局工作情况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及时公开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公告公示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政务公示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及时公开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政府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大事记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政府常务讨论的重大决策或重大政策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及时公开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财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政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财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务</w:t>
            </w:r>
          </w:p>
          <w:p>
            <w:pPr>
              <w:widowControl/>
              <w:spacing w:before="110" w:after="110" w:line="48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财政预决算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预决算与相关审计信息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及时公开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67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专项资金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专项资金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批准和实施情况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及时公开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67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行政事业性收费的项目、依据、标准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及时公开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规划总结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规划、计划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下一年规划、计划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及时公开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67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年度报告、工作总结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本年度报告、总结</w:t>
            </w: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5710E"/>
    <w:rsid w:val="7815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2023-06-14T02:11:00Z</dcterms:created>
  <dc:creator>生如夏花</dc:creator>
  <cp:lastModifiedBy>生如夏花</cp:lastModifiedBy>
  <dcterms:modified xsi:type="dcterms:W3CDTF">2023-06-14T02:16:28Z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