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88" w:lineRule="atLeast"/>
        <w:jc w:val="center"/>
        <w:outlineLvl w:val="1"/>
        <w:rPr>
          <w:rFonts w:ascii="仿宋_GB2312" w:hAnsi="仿宋_GB2312" w:eastAsia="仿宋_GB2312" w:cs="仿宋_GB2312"/>
          <w:sz w:val="44"/>
          <w:szCs w:val="44"/>
        </w:rPr>
      </w:pPr>
      <w:bookmarkStart w:id="0" w:name="_GoBack"/>
      <w:bookmarkEnd w:id="0"/>
      <w:r>
        <w:rPr>
          <w:rFonts w:hint="eastAsia" w:ascii="仿宋_GB2312" w:hAnsi="仿宋_GB2312" w:eastAsia="仿宋_GB2312" w:cs="仿宋_GB2312"/>
          <w:sz w:val="44"/>
          <w:szCs w:val="44"/>
        </w:rPr>
        <w:t>丰宁满族自治县教育系统2020年度部门整体支出</w:t>
      </w:r>
    </w:p>
    <w:p>
      <w:pPr>
        <w:widowControl/>
        <w:shd w:val="clear" w:color="auto" w:fill="FFFFFF"/>
        <w:spacing w:line="888" w:lineRule="atLeast"/>
        <w:jc w:val="center"/>
        <w:outlineLvl w:val="1"/>
        <w:rPr>
          <w:rFonts w:ascii="仿宋_GB2312" w:hAnsi="仿宋_GB2312" w:eastAsia="仿宋_GB2312" w:cs="仿宋_GB2312"/>
          <w:sz w:val="44"/>
          <w:szCs w:val="44"/>
        </w:rPr>
      </w:pPr>
      <w:r>
        <w:rPr>
          <w:rFonts w:hint="eastAsia" w:ascii="仿宋_GB2312" w:hAnsi="仿宋_GB2312" w:eastAsia="仿宋_GB2312" w:cs="仿宋_GB2312"/>
          <w:sz w:val="44"/>
          <w:szCs w:val="44"/>
        </w:rPr>
        <w:t>绩效评价报告</w:t>
      </w:r>
    </w:p>
    <w:p>
      <w:pPr>
        <w:widowControl/>
        <w:shd w:val="clear" w:color="auto" w:fill="FFFFFF"/>
        <w:spacing w:line="57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丰宁满族自治县财政局关于开展2020年度县级预算部门绩效自评工作的通知》（丰财评价〔2021〕3号）文件精神，本着独立、客观、公正、科学的原则，按照公认的绩效评价方法，我局积极组织，对2020年度本单位所有县级预算项目及部门整体资金支出进行了绩效自评，现将具体绩效评价情况报告如下：</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共计评价44个大项75个小项涉及资金25592.9万元。</w:t>
      </w:r>
    </w:p>
    <w:p>
      <w:pPr>
        <w:spacing w:line="54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（一）评价项目资金概况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1.丰宁满族自治县教育和体育局财务股负责组织实施的经费类和人员类项目共计资金7987.1万元全部拨付二级预算单位，当年全部支出，保障学校正常运转，并且生均经费稳步提高。</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丰宁满族自治县教育和体育局项目办实施的薄弱学校改造共计改造各级各类学校59064.3平方米投入资金2447万元，实际支出1486.1384万元，结转960.8616万元、校舍安全保障长效机制项目共计改造各级各类学校67400平方米投入资金1377万元，实际支出763万元，结转614万元、校园足球场、教师周转宿舍项目，资金总额4765.3005万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丰宁满族自治县教育和体育局学前办实施的学前项目，资金总额 882.8万元，2020年落实学前教育补助资金357.4万元，安排15所幼儿园【骆驼沟教学点、大西沟教学点、塔前教学点、前营教学点、韩村教学点、六道沟教学点、双井子教学点、同胜永教学点、范营教学点、长阁中心幼儿园、杨木栅子中心园、小川幼儿园】玩教具购置项目。</w:t>
      </w:r>
    </w:p>
    <w:p>
      <w:pPr>
        <w:pStyle w:val="5"/>
        <w:widowControl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 丰宁满族自治县教育和体育局资助中心负责实施的资助项目，资金总额 847.39万元。2020年共落实家庭经济困难学生生活补助资金847.39万元，其中：中央资金484万元、省级资金274万元、县级配套资金89.39万元。共资助义务教育阶段学校受助学生9556人，其中：家庭经济困难寄宿学生5420人、非寄宿生4136人；2020年共民办普通高中学校资助资金资金24.94万元，其中：上级资金11.60万元、县级配套资金13.34万元。用于晨曦高中23.65万元，用于福环高中1.29万元；2020年共落实学前教育资助补助资金31.61万元，其中：中央资金20.61万元、县级配套资金11万元。我县有幼儿园112所，符合资助条件的幼儿园有87所，2020年春季学期受新冠疫情影响全县幼儿园均没有开园，也未履行幼儿资助手续。2020年秋季学期享受学前教育减免保教费的幼儿903名，受助幼儿约占在园幼儿总数的13.68%，符合资助条件的建档立卡等家庭经济困难幼儿全部得到资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 丰宁满族自治县教育和体育局后勤装备中心购置厨房、宿舍设备19317件使用资金372万元，服务我县56所学校，2020年12月31日之前按资金计划应全部给付，因疫情影响，资金紧张只给付了50%；安排义务教育阶段学校食堂炊事人员资金200万元；我县属于22个集中连片特困县，疫情期间营养餐供餐所需资金由省级全额负担，同供餐企业结算学生饮用牛奶货款总计130.1万元；2020年中央已下拨营养改善计划资金1899万元，截至2020 年用于学生营养计划支出978万元。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丰宁满族自治县教育和体育局技术装备中心在教育装备建设上投入655.1万元实施了如下项目：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（1）为初中1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所学校3</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个教学班实施了丰宁初中教学评估系统采购和白塔中学网络建设项目（共170.0293万，本次支付项目款80%计119.0205万,已支付）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为丰宁三中实施创客教室（A包）采购项目（42.3888万）、为丰宁一小实施了创客教室（B包）采购项目（38.06），按项目款70%支付共56.3142万（财政无钱未支付）。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为丰宁部分学校设备采购51所学校监控增存储卡、5所学校增64台电脑，七小增36个视频展台，信息中心增19块存储卡等设备（共51.9万，按70%支付计36.33）（财政无钱未支付）。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鱼儿山小学多媒体教室（共32.7万，按70%支付计22.89）（财政无钱未支付）。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13所初中与教育局评估中心网络运行费（5.2万，按1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%已支付）。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移动公司城域网三期网络服务费（10.2427万，按1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%已支付）</w:t>
      </w:r>
    </w:p>
    <w:p>
      <w:pPr>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（7）实现农村义务教育学校网络教学环境全覆盖项目资金</w:t>
      </w:r>
      <w:r>
        <w:rPr>
          <w:rFonts w:ascii="仿宋_GB2312" w:hAnsi="仿宋_GB2312" w:eastAsia="仿宋_GB2312" w:cs="仿宋_GB2312"/>
          <w:sz w:val="32"/>
          <w:szCs w:val="32"/>
        </w:rPr>
        <w:t>136</w:t>
      </w:r>
      <w:r>
        <w:rPr>
          <w:rFonts w:hint="eastAsia" w:ascii="仿宋_GB2312" w:hAnsi="仿宋_GB2312" w:eastAsia="仿宋_GB2312" w:cs="仿宋_GB2312"/>
          <w:sz w:val="32"/>
          <w:szCs w:val="32"/>
        </w:rPr>
        <w:t>万。该项目资金分为两种用途，一是用于中国社会福利基金会为黄旗中心校、南关中心校捐建“授渔计划</w:t>
      </w:r>
      <w:r>
        <w:rPr>
          <w:rFonts w:ascii="仿宋_GB2312" w:hAnsi="仿宋_GB2312" w:eastAsia="仿宋_GB2312" w:cs="仿宋_GB2312"/>
          <w:sz w:val="32"/>
          <w:szCs w:val="32"/>
        </w:rPr>
        <w:noBreakHyphen/>
      </w:r>
      <w:r>
        <w:rPr>
          <w:rFonts w:hint="eastAsia" w:ascii="仿宋_GB2312" w:hAnsi="仿宋_GB2312" w:eastAsia="仿宋_GB2312" w:cs="仿宋_GB2312"/>
          <w:sz w:val="32"/>
          <w:szCs w:val="32"/>
        </w:rPr>
        <w:t>双师课堂</w:t>
      </w:r>
      <w:r>
        <w:rPr>
          <w:rFonts w:ascii="仿宋_GB2312" w:hAnsi="仿宋_GB2312" w:eastAsia="仿宋_GB2312" w:cs="仿宋_GB2312"/>
          <w:sz w:val="32"/>
          <w:szCs w:val="32"/>
        </w:rPr>
        <w:noBreakHyphen/>
      </w:r>
      <w:r>
        <w:rPr>
          <w:rFonts w:hint="eastAsia" w:ascii="仿宋_GB2312" w:hAnsi="仿宋_GB2312" w:eastAsia="仿宋_GB2312" w:cs="仿宋_GB2312"/>
          <w:sz w:val="32"/>
          <w:szCs w:val="32"/>
        </w:rPr>
        <w:t>金种子教师培养工程”项目，基金会投入硬件1</w:t>
      </w:r>
      <w:r>
        <w:rPr>
          <w:rFonts w:ascii="仿宋_GB2312" w:hAnsi="仿宋_GB2312" w:eastAsia="仿宋_GB2312" w:cs="仿宋_GB2312"/>
          <w:sz w:val="32"/>
          <w:szCs w:val="32"/>
        </w:rPr>
        <w:t>40.86</w:t>
      </w:r>
      <w:r>
        <w:rPr>
          <w:rFonts w:hint="eastAsia" w:ascii="仿宋_GB2312" w:hAnsi="仿宋_GB2312" w:eastAsia="仿宋_GB2312" w:cs="仿宋_GB2312"/>
          <w:sz w:val="32"/>
          <w:szCs w:val="32"/>
        </w:rPr>
        <w:t>，百家云软件1</w:t>
      </w:r>
      <w:r>
        <w:rPr>
          <w:rFonts w:ascii="仿宋_GB2312" w:hAnsi="仿宋_GB2312" w:eastAsia="仿宋_GB2312" w:cs="仿宋_GB2312"/>
          <w:sz w:val="32"/>
          <w:szCs w:val="32"/>
        </w:rPr>
        <w:t>0.85</w:t>
      </w:r>
      <w:r>
        <w:rPr>
          <w:rFonts w:hint="eastAsia" w:ascii="仿宋_GB2312" w:hAnsi="仿宋_GB2312" w:eastAsia="仿宋_GB2312" w:cs="仿宋_GB2312"/>
          <w:sz w:val="32"/>
          <w:szCs w:val="32"/>
        </w:rPr>
        <w:t>，建设了3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个双师课堂，教育和体育局配套建设双师课堂五个授课端、两个听课端建设，南关小学网络重修、五台空调、八块推拉黑板等共计2</w:t>
      </w:r>
      <w:r>
        <w:rPr>
          <w:rFonts w:ascii="仿宋_GB2312" w:hAnsi="仿宋_GB2312" w:eastAsia="仿宋_GB2312" w:cs="仿宋_GB2312"/>
          <w:sz w:val="32"/>
          <w:szCs w:val="32"/>
        </w:rPr>
        <w:t>4.32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年支付2</w:t>
      </w:r>
      <w:r>
        <w:rPr>
          <w:rFonts w:ascii="仿宋_GB2312" w:hAnsi="仿宋_GB2312" w:eastAsia="仿宋_GB2312" w:cs="仿宋_GB2312"/>
          <w:sz w:val="32"/>
          <w:szCs w:val="32"/>
        </w:rPr>
        <w:t>3.43002</w:t>
      </w:r>
      <w:r>
        <w:rPr>
          <w:rFonts w:hint="eastAsia" w:ascii="仿宋_GB2312" w:hAnsi="仿宋_GB2312" w:eastAsia="仿宋_GB2312" w:cs="仿宋_GB2312"/>
          <w:sz w:val="32"/>
          <w:szCs w:val="32"/>
        </w:rPr>
        <w:t>万，尚有0</w:t>
      </w:r>
      <w:r>
        <w:rPr>
          <w:rFonts w:ascii="仿宋_GB2312" w:hAnsi="仿宋_GB2312" w:eastAsia="仿宋_GB2312" w:cs="仿宋_GB2312"/>
          <w:sz w:val="32"/>
          <w:szCs w:val="32"/>
        </w:rPr>
        <w:t>.82278</w:t>
      </w:r>
      <w:r>
        <w:rPr>
          <w:rFonts w:hint="eastAsia" w:ascii="仿宋_GB2312" w:hAnsi="仿宋_GB2312" w:eastAsia="仿宋_GB2312" w:cs="仿宋_GB2312"/>
          <w:sz w:val="32"/>
          <w:szCs w:val="32"/>
        </w:rPr>
        <w:t>万未支付）。二是用于长阁小学、南关中学、小川小学学校信息化建设，项目资金（1</w:t>
      </w:r>
      <w:r>
        <w:rPr>
          <w:rFonts w:ascii="仿宋_GB2312" w:hAnsi="仿宋_GB2312" w:eastAsia="仿宋_GB2312" w:cs="仿宋_GB2312"/>
          <w:sz w:val="32"/>
          <w:szCs w:val="32"/>
        </w:rPr>
        <w:t>37.1368</w:t>
      </w:r>
      <w:r>
        <w:rPr>
          <w:rFonts w:hint="eastAsia" w:ascii="仿宋_GB2312" w:hAnsi="仿宋_GB2312" w:eastAsia="仿宋_GB2312" w:cs="仿宋_GB2312"/>
          <w:sz w:val="32"/>
          <w:szCs w:val="32"/>
        </w:rPr>
        <w:t>万）2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年按合同支付1</w:t>
      </w:r>
      <w:r>
        <w:rPr>
          <w:rFonts w:ascii="仿宋_GB2312" w:hAnsi="仿宋_GB2312" w:eastAsia="仿宋_GB2312" w:cs="仿宋_GB2312"/>
          <w:sz w:val="32"/>
          <w:szCs w:val="32"/>
        </w:rPr>
        <w:t>12.56998</w:t>
      </w:r>
      <w:r>
        <w:rPr>
          <w:rFonts w:hint="eastAsia" w:ascii="仿宋_GB2312" w:hAnsi="仿宋_GB2312" w:eastAsia="仿宋_GB2312" w:cs="仿宋_GB2312"/>
          <w:sz w:val="32"/>
          <w:szCs w:val="32"/>
        </w:rPr>
        <w:t>万元。共计支出1</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万。</w:t>
      </w:r>
    </w:p>
    <w:p>
      <w:pPr>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（8）用于丰宁第一幼儿园及凤山第一幼儿园学校信息化建设。项目资金共1</w:t>
      </w:r>
      <w:r>
        <w:rPr>
          <w:rFonts w:ascii="仿宋_GB2312" w:hAnsi="仿宋_GB2312" w:eastAsia="仿宋_GB2312" w:cs="仿宋_GB2312"/>
          <w:sz w:val="32"/>
          <w:szCs w:val="32"/>
        </w:rPr>
        <w:t>15.3632</w:t>
      </w:r>
      <w:r>
        <w:rPr>
          <w:rFonts w:hint="eastAsia" w:ascii="仿宋_GB2312" w:hAnsi="仿宋_GB2312" w:eastAsia="仿宋_GB2312" w:cs="仿宋_GB2312"/>
          <w:sz w:val="32"/>
          <w:szCs w:val="32"/>
        </w:rPr>
        <w:t>万，本次使用9</w:t>
      </w:r>
      <w:r>
        <w:rPr>
          <w:rFonts w:ascii="仿宋_GB2312" w:hAnsi="仿宋_GB2312" w:eastAsia="仿宋_GB2312" w:cs="仿宋_GB2312"/>
          <w:sz w:val="32"/>
          <w:szCs w:val="32"/>
        </w:rPr>
        <w:t>5.3595</w:t>
      </w:r>
      <w:r>
        <w:rPr>
          <w:rFonts w:hint="eastAsia" w:ascii="仿宋_GB2312" w:hAnsi="仿宋_GB2312" w:eastAsia="仿宋_GB2312" w:cs="仿宋_GB2312"/>
          <w:sz w:val="32"/>
          <w:szCs w:val="32"/>
        </w:rPr>
        <w:t>万。尚有2</w:t>
      </w:r>
      <w:r>
        <w:rPr>
          <w:rFonts w:ascii="仿宋_GB2312" w:hAnsi="仿宋_GB2312" w:eastAsia="仿宋_GB2312" w:cs="仿宋_GB2312"/>
          <w:sz w:val="32"/>
          <w:szCs w:val="32"/>
        </w:rPr>
        <w:t>4.6405</w:t>
      </w:r>
      <w:r>
        <w:rPr>
          <w:rFonts w:hint="eastAsia" w:ascii="仿宋_GB2312" w:hAnsi="仿宋_GB2312" w:eastAsia="仿宋_GB2312" w:cs="仿宋_GB2312"/>
          <w:sz w:val="32"/>
          <w:szCs w:val="32"/>
        </w:rPr>
        <w:t>万待2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年支付。使用2020年费税改革转移支付专项资金1</w:t>
      </w:r>
      <w:r>
        <w:rPr>
          <w:rFonts w:ascii="仿宋_GB2312" w:hAnsi="仿宋_GB2312" w:eastAsia="仿宋_GB2312" w:cs="仿宋_GB2312"/>
          <w:sz w:val="32"/>
          <w:szCs w:val="32"/>
        </w:rPr>
        <w:t>49.1</w:t>
      </w:r>
      <w:r>
        <w:rPr>
          <w:rFonts w:hint="eastAsia" w:ascii="仿宋_GB2312" w:hAnsi="仿宋_GB2312" w:eastAsia="仿宋_GB2312" w:cs="仿宋_GB2312"/>
          <w:sz w:val="32"/>
          <w:szCs w:val="32"/>
        </w:rPr>
        <w:t>万用于现代信息技术教育发展。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7.丰宁满族自治县教育和体育局人事股：4个小项，合计4567万元。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（1）支付产病假代课教师139人，项目资金100万元全部发放给符合标准的教师。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（2）特岗教师补助资金2256万元，截止2020年12月月末，按进度全部完成，资金发放及时到位，无拖欠现象发生。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（3）乡村教师生活</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专项资金878万元、县级资金454万元，共计1332万元补助了乡村学校（含教学点）共147所学校，计2321名乡村教师。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（4）民师教龄补助专项资金138万元、县级资金741万元，共计879万元，共计补助年满60周岁民办代课教师共2404人。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丰宁满族自治县教育和体育局校车公司运行经费248万元用于校车司机工资90万元，随车照管员补助9.2万元，校车司机社保缴费29万元，校车保险30万元，校车加油31万元，校车维修保养等58.8万元。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 丰宁满族自治县教育和体育局第四中学资金2582万元用于维修改造校舍总建筑面积为37972平方米，修建操场二个总面积14213平方米，看台1个面积219.64平方米，篮球4个面积1768平方米，物理、化学、生物实验室器材购置、餐厅设备购置智慧校园信息化建等项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 丰宁满族自治县教育和体育局开发区小学及幼儿园项目资金1508万元用于报告厅装修，幼儿园装修工程，厨房设备采购，智慧校园信息化建设，音体美实验器材采购，图书采购，直饮水机采购，灯光音响采购，幼儿园教具采购，校园文化建设，阅览室文化建设等。</w:t>
      </w:r>
    </w:p>
    <w:p>
      <w:pPr>
        <w:spacing w:line="54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（二）、部门概况  </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负责教育局机关日常工作；统筹协调机关事务，负责机关财务资产管理和后勤保障工作；负责机关文秘文印、文书档案、考勤考核工作；负责教育综合会议会务和公务接待工作；负责教育宣传、对外联络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负责系统党委日常工作；落实上级党组织工作安排，完成各项党务工作，组织安排党务会议和活动；负责基层党组织建设工作；负责共青团、少先队全面工作；负责全县教育系统希望工程、社会捐助等工作；负责妇联、计划生育工作；负责统一战线具体工作；组织安排党员干部培训学习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3.负责全县中小学常规教育行政管理、教育布局规划和深化教育改革；监督教育方针政策、法律法规和教育教学计划执行情况；负责学校招生计划制定、学籍管理、初中生毕业审定工作；指导特殊教育工作。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负责师德师风建设工作；负责干部教师队伍建设培训、考核管理、考察任免；负责教育系统编制管理、教师招聘与调动、职称评聘与劳资福利、人事信息采集与档案管理、老干部工作；指导社会力量办学的师资队伍建设。</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主管全县教育财务工作（不含学校食堂财务）。负责教育经费预决算工作；负责教育经费和资产管理，制定相关管理办法及规则；办理基建项目会计核算；组织学校编制中小学期初报表；负责会计队伍建设和财务人员培训；监督支付中心运行和学校财务收支情况。</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制定全县教育基本建设项目总体规划和年度实施方案；组织和指导学校制定办学条件提升计划；配合学校布局调整做好项目规划工作；负责教育项目立项、审批、招标、管理、质量监督、审计结算及档案建设工作；对专项资金进行规划管理，平衡建设资金收支计划；对学校基础设施进行年度调研，为全县教育建设决策提供依据。</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负责组织对县政府履行教育职责评价工作和各级督导评估工作；负责督学责任区建设与管理工作；负责制定学校年度工作考核目标；组织实施期初督导检查、期中督导提升和年末考核评定工作；负责义务教育质量监测、素质教育示范校推荐与评定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8.负责学校德育、体育、艺术、卫生防疫工作；负责学校思想教育和法制工作；负责家庭教育、校外教育、国防教育工作；负责关心下一代工作。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统筹协调全县教育系统安全稳定各项常规管理工作；对全县学校安全工作开展督导检查、工作调研、考核奖惩；制定教育系统年度安全应急预案和安稳工作方案，协调指导学校处理各类事故；牵头负责教育系统信访工作，接待、交办、转办信访件；牵头做好教育系统突发公共事件应急处置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监督检查教育系统工作人员贯彻执行党的路线、方针、政策、决议和国家法律、法规、决定、命令的情况；负责检查党政干部和教职员工违纪案件；调查处理教育系统工作人员违法违纪行为；协助系统党委抓好教育系统党风廉政建设工作；负责教育系统行风建设工作；监督检查教育系统校务公开、教育收费等方面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负责制定教育工会工作规划、组织工会年度活动、安排职代会（或教工大会）；负责检查指导、评估考核基层工会工作；指导学校做好校务公开工作；配合人事股加强教职工师德师风建设；维护教职工合法权益、关爱教职工生活；加强教育工会自身建设，管好工会经费和财产。</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12.统筹管理、规划指导职业教育、成人教育和民办教育工作；负责职业学校招生计划、专业设置、助学金发放审核工作；负责民办校和校外办学机构审批、管理、考核审验等工作；负责社会力量办学工作。  </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13.负责初中阶段的教学研究、教学指导、教学管理和课程改革；负责制定教学质量评价方案，组织教学考试评估；组织开展课堂教学、教研教改活动；组织教材培训、骨干教师培养等工作。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14.负责小学阶段教学研究、教学指导、教学管理和课程改革；负责制定教学质量评价方案，组织教学考试评估；组织开展课堂教学、教研教改活动；组织教材培训、骨干教师培养等工作。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15.贯彻落实学前教育工作方针、政策及法律法规，制定并组织实施全县学前教育的发展规划和管理制度；负责幼儿园业务指导工作，组织园长教师培训；负责幼儿园考核评定和创建定级工作。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16.负责普通高考、中考、学业水平测试组织考试工作；负责高校录取咨询工作；负责自考报名、毕业审定工作；负责成人高考和教师资格证考试报名、资格审核工作。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17.负责教学仪器、体音美卫器材、实验室、图书室、计算机教室、现代教育技术、教育网络、教育资源的装备、管理、应用和维护；负责信息化教学、实验教学、读书活动的组织开展和检查考核。</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负责指导监督检查学校的后勤管理工作，制定优化后勤设施资源配置及维护工作，组织采购安装；监督指导学校食堂、超市、宿舍管理及服务性项目的规范运行；负责指导学校劳动实践基地建设和劳动技术教育工作；负责处理局原有企业遗留问题；做好学生营养改善计划招标采购、配送、发放的监管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19.宣传、贯彻学生资助政策，监督落实各学段学生资助工作，监督检查各类助学金发放情况；落实营养改善计划；组织实施大学生新生入学资助工作，负责生源地贷款业务办理。</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协助财务股做好教育财务工作；负责监督落实中小学财务管理办法、规则和收支计划；监督学校资产管理和年度财务预算执行，规范学校财务收支行为；负责财务审计等工作；负责校长、财务人员工作变动交接手续。</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21.负责指导中小学教育科研工作；负责科研课题规划、立项、评审、结题、鉴定过程性管理；负责编辑出版《丰宁教育》；负责教学论文认定统计。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负责校车公司运行与安全管理、综合调度工作；负责驾驶员的招录管理、安全教育、培训考核工作；督促检查学校对随车照管员的选拔和培训工作；负责车辆管理维修，协调财政、安监、交管、交通等相关监管部门工作。</w:t>
      </w:r>
    </w:p>
    <w:p>
      <w:pPr>
        <w:spacing w:line="500" w:lineRule="exact"/>
        <w:jc w:val="left"/>
        <w:rPr>
          <w:rFonts w:ascii="Times New Roman" w:hAnsi="方正仿宋_GBK" w:eastAsia="方正仿宋_GBK" w:cs="方正仿宋_GBK"/>
          <w:b/>
          <w:sz w:val="28"/>
        </w:rPr>
        <w:sectPr>
          <w:footerReference r:id="rId3" w:type="default"/>
          <w:pgSz w:w="11906" w:h="16838"/>
          <w:pgMar w:top="1531" w:right="1134" w:bottom="1474" w:left="1134" w:header="851" w:footer="992" w:gutter="0"/>
          <w:pgNumType w:start="1"/>
          <w:cols w:space="720" w:num="1"/>
          <w:docGrid w:type="lines" w:linePitch="312" w:charSpace="0"/>
        </w:sectPr>
      </w:pPr>
    </w:p>
    <w:p>
      <w:pPr>
        <w:spacing w:line="500" w:lineRule="exact"/>
        <w:rPr>
          <w:rFonts w:ascii="Times New Roman" w:hAnsi="Times New Roman" w:eastAsia="方正仿宋_GBK" w:cs="Times New Roman"/>
          <w:b/>
          <w:sz w:val="32"/>
          <w:szCs w:val="32"/>
        </w:rPr>
      </w:pPr>
      <w:r>
        <w:rPr>
          <w:rFonts w:hint="eastAsia" w:ascii="黑体" w:hAnsi="黑体" w:eastAsia="黑体" w:cs="黑体"/>
          <w:b/>
          <w:sz w:val="32"/>
          <w:szCs w:val="32"/>
        </w:rPr>
        <w:t>机构设置</w:t>
      </w:r>
      <w:r>
        <w:rPr>
          <w:rFonts w:ascii="Times New Roman" w:hAnsi="Times New Roman" w:eastAsia="方正仿宋_GBK" w:cs="Times New Roman"/>
          <w:b/>
          <w:sz w:val="32"/>
          <w:szCs w:val="32"/>
        </w:rPr>
        <w:t>：</w:t>
      </w:r>
    </w:p>
    <w:p>
      <w:pPr>
        <w:spacing w:line="500" w:lineRule="exact"/>
        <w:ind w:firstLine="560" w:firstLineChars="200"/>
        <w:jc w:val="left"/>
        <w:rPr>
          <w:rFonts w:ascii="Times New Roman" w:hAnsi="方正仿宋_GBK" w:eastAsia="方正仿宋_GBK" w:cs="方正仿宋_GBK"/>
          <w:sz w:val="28"/>
        </w:rPr>
      </w:pP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教育局机关股室设置为“六办、五股、四室、四中心、两会”的“65442”教育局股室设置格局，明确各股室工作职责，使机关管理更加规范有序，教育局对学校的管理责任更加明确、督导更加有力。局机关班子成员6人，一般干部  人，其中公务员5人，专业技术人员 人，工勤人员5人。离休1人，退休人员35人。</w:t>
      </w:r>
    </w:p>
    <w:p>
      <w:pPr>
        <w:spacing w:line="500" w:lineRule="exact"/>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教育局机关设置情况</w:t>
      </w:r>
    </w:p>
    <w:p>
      <w:pPr>
        <w:spacing w:line="500" w:lineRule="exact"/>
        <w:ind w:firstLine="560" w:firstLineChars="200"/>
        <w:jc w:val="left"/>
        <w:rPr>
          <w:rFonts w:ascii="Times New Roman" w:hAnsi="方正仿宋_GBK" w:eastAsia="方正仿宋_GBK" w:cs="方正仿宋_GBK"/>
          <w:sz w:val="28"/>
        </w:rPr>
      </w:pPr>
    </w:p>
    <w:p>
      <w:pPr>
        <w:spacing w:line="500" w:lineRule="exact"/>
        <w:ind w:firstLine="560" w:firstLineChars="200"/>
        <w:jc w:val="left"/>
        <w:rPr>
          <w:rFonts w:ascii="Times New Roman" w:hAnsi="方正仿宋_GBK" w:eastAsia="方正仿宋_GBK" w:cs="方正仿宋_GBK"/>
          <w:sz w:val="28"/>
        </w:rPr>
      </w:pPr>
    </w:p>
    <w:tbl>
      <w:tblPr>
        <w:tblStyle w:val="6"/>
        <w:tblW w:w="95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2"/>
        <w:gridCol w:w="1935"/>
        <w:gridCol w:w="1410"/>
        <w:gridCol w:w="4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2242" w:type="dxa"/>
            <w:vMerge w:val="restart"/>
            <w:shd w:val="clear" w:color="auto" w:fill="auto"/>
            <w:vAlign w:val="center"/>
          </w:tcPr>
          <w:p>
            <w:pPr>
              <w:spacing w:line="500" w:lineRule="exact"/>
              <w:ind w:firstLine="560" w:firstLineChars="200"/>
              <w:jc w:val="left"/>
              <w:rPr>
                <w:rFonts w:asciiTheme="minorEastAsia" w:hAnsiTheme="minorEastAsia" w:cstheme="minorEastAsia"/>
                <w:sz w:val="28"/>
              </w:rPr>
            </w:pPr>
            <w:r>
              <w:rPr>
                <w:rFonts w:hint="eastAsia" w:asciiTheme="minorEastAsia" w:hAnsiTheme="minorEastAsia" w:cstheme="minorEastAsia"/>
                <w:sz w:val="28"/>
              </w:rPr>
              <w:t>单位名称</w:t>
            </w:r>
          </w:p>
        </w:tc>
        <w:tc>
          <w:tcPr>
            <w:tcW w:w="1935" w:type="dxa"/>
            <w:vMerge w:val="restart"/>
            <w:shd w:val="clear" w:color="auto" w:fill="auto"/>
            <w:vAlign w:val="center"/>
          </w:tcPr>
          <w:p>
            <w:pPr>
              <w:spacing w:line="500" w:lineRule="exact"/>
              <w:ind w:firstLine="560" w:firstLineChars="200"/>
              <w:jc w:val="left"/>
              <w:rPr>
                <w:rFonts w:asciiTheme="minorEastAsia" w:hAnsiTheme="minorEastAsia" w:cstheme="minorEastAsia"/>
                <w:sz w:val="28"/>
              </w:rPr>
            </w:pPr>
            <w:r>
              <w:rPr>
                <w:rFonts w:hint="eastAsia" w:asciiTheme="minorEastAsia" w:hAnsiTheme="minorEastAsia" w:cstheme="minorEastAsia"/>
                <w:sz w:val="28"/>
              </w:rPr>
              <w:t>单位性质</w:t>
            </w:r>
          </w:p>
        </w:tc>
        <w:tc>
          <w:tcPr>
            <w:tcW w:w="1410" w:type="dxa"/>
            <w:vMerge w:val="restart"/>
            <w:shd w:val="clear" w:color="auto" w:fill="auto"/>
            <w:vAlign w:val="center"/>
          </w:tcPr>
          <w:p>
            <w:pPr>
              <w:spacing w:line="500" w:lineRule="exact"/>
              <w:jc w:val="left"/>
              <w:rPr>
                <w:rFonts w:asciiTheme="minorEastAsia" w:hAnsiTheme="minorEastAsia" w:cstheme="minorEastAsia"/>
                <w:sz w:val="28"/>
              </w:rPr>
            </w:pPr>
            <w:r>
              <w:rPr>
                <w:rFonts w:hint="eastAsia" w:asciiTheme="minorEastAsia" w:hAnsiTheme="minorEastAsia" w:cstheme="minorEastAsia"/>
                <w:sz w:val="28"/>
              </w:rPr>
              <w:t>单位规格</w:t>
            </w:r>
          </w:p>
        </w:tc>
        <w:tc>
          <w:tcPr>
            <w:tcW w:w="4010" w:type="dxa"/>
            <w:vMerge w:val="restart"/>
            <w:shd w:val="clear" w:color="auto" w:fill="auto"/>
            <w:vAlign w:val="center"/>
          </w:tcPr>
          <w:p>
            <w:pPr>
              <w:spacing w:line="500" w:lineRule="exact"/>
              <w:ind w:firstLine="560" w:firstLineChars="200"/>
              <w:jc w:val="left"/>
              <w:rPr>
                <w:rFonts w:asciiTheme="minorEastAsia" w:hAnsiTheme="minorEastAsia" w:cstheme="minorEastAsia"/>
                <w:sz w:val="28"/>
              </w:rPr>
            </w:pPr>
            <w:r>
              <w:rPr>
                <w:rFonts w:hint="eastAsia" w:asciiTheme="minorEastAsia" w:hAnsiTheme="minorEastAsia" w:cstheme="minorEastAsia"/>
                <w:sz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2242" w:type="dxa"/>
            <w:vMerge w:val="continue"/>
            <w:shd w:val="clear" w:color="auto" w:fill="auto"/>
            <w:vAlign w:val="center"/>
          </w:tcPr>
          <w:p>
            <w:pPr>
              <w:spacing w:line="500" w:lineRule="exact"/>
              <w:ind w:firstLine="560" w:firstLineChars="200"/>
              <w:jc w:val="left"/>
              <w:rPr>
                <w:rFonts w:asciiTheme="minorEastAsia" w:hAnsiTheme="minorEastAsia" w:cstheme="minorEastAsia"/>
                <w:sz w:val="28"/>
              </w:rPr>
            </w:pPr>
          </w:p>
        </w:tc>
        <w:tc>
          <w:tcPr>
            <w:tcW w:w="1935" w:type="dxa"/>
            <w:vMerge w:val="continue"/>
            <w:shd w:val="clear" w:color="auto" w:fill="auto"/>
            <w:vAlign w:val="center"/>
          </w:tcPr>
          <w:p>
            <w:pPr>
              <w:spacing w:line="500" w:lineRule="exact"/>
              <w:ind w:firstLine="560" w:firstLineChars="200"/>
              <w:jc w:val="left"/>
              <w:rPr>
                <w:rFonts w:asciiTheme="minorEastAsia" w:hAnsiTheme="minorEastAsia" w:cstheme="minorEastAsia"/>
                <w:sz w:val="28"/>
              </w:rPr>
            </w:pPr>
          </w:p>
        </w:tc>
        <w:tc>
          <w:tcPr>
            <w:tcW w:w="1410" w:type="dxa"/>
            <w:vMerge w:val="continue"/>
            <w:shd w:val="clear" w:color="auto" w:fill="auto"/>
            <w:vAlign w:val="center"/>
          </w:tcPr>
          <w:p>
            <w:pPr>
              <w:spacing w:line="500" w:lineRule="exact"/>
              <w:ind w:firstLine="560" w:firstLineChars="200"/>
              <w:jc w:val="left"/>
              <w:rPr>
                <w:rFonts w:asciiTheme="minorEastAsia" w:hAnsiTheme="minorEastAsia" w:cstheme="minorEastAsia"/>
                <w:sz w:val="28"/>
              </w:rPr>
            </w:pPr>
          </w:p>
        </w:tc>
        <w:tc>
          <w:tcPr>
            <w:tcW w:w="4010" w:type="dxa"/>
            <w:vMerge w:val="continue"/>
            <w:shd w:val="clear" w:color="auto" w:fill="auto"/>
            <w:vAlign w:val="center"/>
          </w:tcPr>
          <w:p>
            <w:pPr>
              <w:spacing w:line="500" w:lineRule="exact"/>
              <w:ind w:firstLine="560" w:firstLineChars="200"/>
              <w:jc w:val="left"/>
              <w:rPr>
                <w:rFonts w:asciiTheme="minorEastAsia" w:hAnsiTheme="minorEastAsia" w:cstheme="minorEastAsia"/>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办公室</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项目办</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招生办</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学前办</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安稳办</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党办</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财务股</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人事股</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教育股</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思政体卫股</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成职教股</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纪检监查室</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中学教研室</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小学教研室</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督导室</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支付中心</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后勤管理中心</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资助中心</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装备中心</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工会</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2242" w:type="dxa"/>
            <w:shd w:val="clear" w:color="auto" w:fill="auto"/>
            <w:vAlign w:val="center"/>
          </w:tcPr>
          <w:p>
            <w:pPr>
              <w:spacing w:line="500" w:lineRule="exact"/>
              <w:rPr>
                <w:rFonts w:asciiTheme="minorEastAsia" w:hAnsiTheme="minorEastAsia" w:cstheme="minorEastAsia"/>
                <w:sz w:val="28"/>
              </w:rPr>
            </w:pPr>
            <w:r>
              <w:rPr>
                <w:rFonts w:hint="eastAsia" w:asciiTheme="minorEastAsia" w:hAnsiTheme="minorEastAsia" w:cstheme="minorEastAsia"/>
                <w:sz w:val="28"/>
              </w:rPr>
              <w:t>学会</w:t>
            </w:r>
          </w:p>
        </w:tc>
        <w:tc>
          <w:tcPr>
            <w:tcW w:w="1935"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全额事业</w:t>
            </w:r>
          </w:p>
        </w:tc>
        <w:tc>
          <w:tcPr>
            <w:tcW w:w="14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股级</w:t>
            </w:r>
          </w:p>
        </w:tc>
        <w:tc>
          <w:tcPr>
            <w:tcW w:w="4010" w:type="dxa"/>
            <w:shd w:val="clear" w:color="auto" w:fill="auto"/>
            <w:vAlign w:val="center"/>
          </w:tcPr>
          <w:p>
            <w:pPr>
              <w:spacing w:line="500" w:lineRule="exact"/>
              <w:ind w:firstLine="560" w:firstLineChars="200"/>
              <w:rPr>
                <w:rFonts w:asciiTheme="minorEastAsia" w:hAnsiTheme="minorEastAsia" w:cstheme="minorEastAsia"/>
                <w:sz w:val="28"/>
              </w:rPr>
            </w:pPr>
            <w:r>
              <w:rPr>
                <w:rFonts w:hint="eastAsia" w:asciiTheme="minorEastAsia" w:hAnsiTheme="minorEastAsia" w:cstheme="minorEastAsia"/>
                <w:sz w:val="28"/>
              </w:rPr>
              <w:t>财政性资金基本保证</w:t>
            </w:r>
          </w:p>
        </w:tc>
      </w:tr>
    </w:tbl>
    <w:p>
      <w:pPr>
        <w:snapToGrid w:val="0"/>
        <w:spacing w:line="440" w:lineRule="exact"/>
        <w:ind w:left="720"/>
        <w:jc w:val="center"/>
        <w:outlineLvl w:val="0"/>
        <w:rPr>
          <w:rFonts w:ascii="仿宋_GB2312"/>
          <w:b/>
        </w:rPr>
      </w:pPr>
      <w:r>
        <w:rPr>
          <w:rFonts w:hint="eastAsia" w:asciiTheme="minorEastAsia" w:hAnsiTheme="minorEastAsia" w:cstheme="minorEastAsia"/>
          <w:b/>
          <w:sz w:val="32"/>
          <w:szCs w:val="32"/>
        </w:rPr>
        <w:t xml:space="preserve"> </w:t>
      </w:r>
    </w:p>
    <w:p>
      <w:pPr>
        <w:snapToGrid w:val="0"/>
        <w:spacing w:line="440" w:lineRule="exact"/>
        <w:ind w:left="720"/>
        <w:jc w:val="center"/>
        <w:outlineLvl w:val="0"/>
        <w:rPr>
          <w:rFonts w:ascii="仿宋_GB2312"/>
          <w:b/>
        </w:rPr>
      </w:pPr>
      <w:r>
        <w:rPr>
          <w:rFonts w:hint="eastAsia" w:ascii="仿宋" w:hAnsi="仿宋" w:eastAsia="仿宋" w:cs="仿宋"/>
          <w:b/>
          <w:sz w:val="32"/>
          <w:szCs w:val="32"/>
        </w:rPr>
        <w:t xml:space="preserve"> </w:t>
      </w:r>
    </w:p>
    <w:p>
      <w:pPr>
        <w:snapToGrid w:val="0"/>
        <w:spacing w:line="360" w:lineRule="auto"/>
        <w:ind w:left="720"/>
        <w:jc w:val="center"/>
        <w:outlineLvl w:val="0"/>
        <w:rPr>
          <w:rFonts w:ascii="黑体" w:hAnsi="黑体" w:eastAsia="黑体" w:cs="黑体"/>
          <w:b/>
          <w:bCs/>
          <w:sz w:val="32"/>
          <w:szCs w:val="24"/>
        </w:rPr>
      </w:pPr>
      <w:r>
        <w:rPr>
          <w:rFonts w:hint="eastAsia" w:ascii="黑体" w:hAnsi="黑体" w:eastAsia="黑体" w:cs="黑体"/>
          <w:b/>
          <w:bCs/>
          <w:sz w:val="32"/>
          <w:szCs w:val="24"/>
        </w:rPr>
        <w:t>预算单位人员情况</w:t>
      </w:r>
    </w:p>
    <w:tbl>
      <w:tblPr>
        <w:tblStyle w:val="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91"/>
        <w:gridCol w:w="855"/>
        <w:gridCol w:w="1410"/>
        <w:gridCol w:w="1110"/>
        <w:gridCol w:w="1215"/>
        <w:gridCol w:w="690"/>
        <w:gridCol w:w="640"/>
        <w:gridCol w:w="927"/>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00" w:hRule="atLeast"/>
          <w:tblHeader/>
          <w:jc w:val="center"/>
        </w:trPr>
        <w:tc>
          <w:tcPr>
            <w:tcW w:w="2291" w:type="dxa"/>
            <w:vMerge w:val="restart"/>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单位名称</w:t>
            </w:r>
          </w:p>
        </w:tc>
        <w:tc>
          <w:tcPr>
            <w:tcW w:w="2265" w:type="dxa"/>
            <w:gridSpan w:val="2"/>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编 制 人 数（人）</w:t>
            </w:r>
          </w:p>
        </w:tc>
        <w:tc>
          <w:tcPr>
            <w:tcW w:w="2325" w:type="dxa"/>
            <w:gridSpan w:val="2"/>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在　职 人 数（人）</w:t>
            </w:r>
          </w:p>
        </w:tc>
        <w:tc>
          <w:tcPr>
            <w:tcW w:w="690" w:type="dxa"/>
            <w:vMerge w:val="restart"/>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非在职人数（人）</w:t>
            </w:r>
          </w:p>
        </w:tc>
        <w:tc>
          <w:tcPr>
            <w:tcW w:w="2152" w:type="dxa"/>
            <w:gridSpan w:val="3"/>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离退人数（人）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6" w:hRule="atLeast"/>
          <w:tblHeader/>
          <w:jc w:val="center"/>
        </w:trPr>
        <w:tc>
          <w:tcPr>
            <w:tcW w:w="2291" w:type="dxa"/>
            <w:vMerge w:val="continue"/>
            <w:vAlign w:val="center"/>
          </w:tcPr>
          <w:p>
            <w:pPr>
              <w:autoSpaceDE w:val="0"/>
              <w:autoSpaceDN w:val="0"/>
              <w:adjustRightInd w:val="0"/>
              <w:ind w:firstLine="675"/>
              <w:jc w:val="center"/>
              <w:rPr>
                <w:rFonts w:ascii="仿宋" w:hAnsi="仿宋" w:eastAsia="仿宋" w:cs="仿宋"/>
                <w:b/>
                <w:sz w:val="24"/>
                <w:szCs w:val="24"/>
              </w:rPr>
            </w:pPr>
          </w:p>
        </w:tc>
        <w:tc>
          <w:tcPr>
            <w:tcW w:w="855" w:type="dxa"/>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行 政</w:t>
            </w:r>
          </w:p>
        </w:tc>
        <w:tc>
          <w:tcPr>
            <w:tcW w:w="1410" w:type="dxa"/>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事业</w:t>
            </w:r>
          </w:p>
        </w:tc>
        <w:tc>
          <w:tcPr>
            <w:tcW w:w="1110" w:type="dxa"/>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行政</w:t>
            </w:r>
          </w:p>
        </w:tc>
        <w:tc>
          <w:tcPr>
            <w:tcW w:w="1215" w:type="dxa"/>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事 业</w:t>
            </w:r>
          </w:p>
        </w:tc>
        <w:tc>
          <w:tcPr>
            <w:tcW w:w="690" w:type="dxa"/>
            <w:vMerge w:val="continue"/>
            <w:vAlign w:val="center"/>
          </w:tcPr>
          <w:p>
            <w:pPr>
              <w:autoSpaceDE w:val="0"/>
              <w:autoSpaceDN w:val="0"/>
              <w:adjustRightInd w:val="0"/>
              <w:jc w:val="center"/>
              <w:rPr>
                <w:rFonts w:ascii="仿宋" w:hAnsi="仿宋" w:eastAsia="仿宋" w:cs="仿宋"/>
                <w:b/>
                <w:sz w:val="24"/>
                <w:szCs w:val="24"/>
              </w:rPr>
            </w:pPr>
          </w:p>
        </w:tc>
        <w:tc>
          <w:tcPr>
            <w:tcW w:w="640" w:type="dxa"/>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离休</w:t>
            </w:r>
          </w:p>
        </w:tc>
        <w:tc>
          <w:tcPr>
            <w:tcW w:w="927" w:type="dxa"/>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退休</w:t>
            </w:r>
          </w:p>
        </w:tc>
        <w:tc>
          <w:tcPr>
            <w:tcW w:w="585" w:type="dxa"/>
            <w:vAlign w:val="center"/>
          </w:tcPr>
          <w:p>
            <w:pPr>
              <w:autoSpaceDE w:val="0"/>
              <w:autoSpaceDN w:val="0"/>
              <w:adjustRightInd w:val="0"/>
              <w:jc w:val="center"/>
              <w:rPr>
                <w:rFonts w:ascii="仿宋" w:hAnsi="仿宋" w:eastAsia="仿宋" w:cs="仿宋"/>
                <w:b/>
                <w:sz w:val="24"/>
                <w:szCs w:val="24"/>
              </w:rPr>
            </w:pPr>
            <w:r>
              <w:rPr>
                <w:rFonts w:hint="eastAsia" w:ascii="仿宋" w:hAnsi="仿宋" w:eastAsia="仿宋" w:cs="仿宋"/>
                <w:b/>
                <w:sz w:val="24"/>
                <w:szCs w:val="24"/>
              </w:rPr>
              <w:t>退职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91" w:type="dxa"/>
            <w:tcBorders>
              <w:top w:val="nil"/>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合计（58）</w:t>
            </w:r>
          </w:p>
        </w:tc>
        <w:tc>
          <w:tcPr>
            <w:tcW w:w="855" w:type="dxa"/>
            <w:tcBorders>
              <w:bottom w:val="nil"/>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w:t>
            </w:r>
          </w:p>
        </w:tc>
        <w:tc>
          <w:tcPr>
            <w:tcW w:w="1410" w:type="dxa"/>
            <w:tcBorders>
              <w:top w:val="nil"/>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4548</w:t>
            </w:r>
          </w:p>
        </w:tc>
        <w:tc>
          <w:tcPr>
            <w:tcW w:w="1110" w:type="dxa"/>
            <w:tcBorders>
              <w:top w:val="nil"/>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w:t>
            </w:r>
          </w:p>
        </w:tc>
        <w:tc>
          <w:tcPr>
            <w:tcW w:w="1215" w:type="dxa"/>
            <w:tcBorders>
              <w:top w:val="nil"/>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4548</w:t>
            </w:r>
          </w:p>
        </w:tc>
        <w:tc>
          <w:tcPr>
            <w:tcW w:w="690" w:type="dxa"/>
            <w:tcBorders>
              <w:top w:val="nil"/>
              <w:bottom w:val="single" w:color="auto" w:sz="4" w:space="0"/>
            </w:tcBorders>
            <w:vAlign w:val="center"/>
          </w:tcPr>
          <w:p>
            <w:pPr>
              <w:widowControl/>
              <w:jc w:val="center"/>
              <w:rPr>
                <w:rFonts w:ascii="仿宋" w:hAnsi="仿宋" w:eastAsia="仿宋" w:cs="仿宋"/>
                <w:sz w:val="24"/>
                <w:szCs w:val="24"/>
              </w:rPr>
            </w:pPr>
          </w:p>
        </w:tc>
        <w:tc>
          <w:tcPr>
            <w:tcW w:w="640" w:type="dxa"/>
            <w:tcBorders>
              <w:top w:val="nil"/>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w:t>
            </w:r>
          </w:p>
        </w:tc>
        <w:tc>
          <w:tcPr>
            <w:tcW w:w="927" w:type="dxa"/>
            <w:tcBorders>
              <w:top w:val="nil"/>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1449</w:t>
            </w:r>
          </w:p>
        </w:tc>
        <w:tc>
          <w:tcPr>
            <w:tcW w:w="585" w:type="dxa"/>
            <w:tcBorders>
              <w:top w:val="nil"/>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第一中学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369</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369</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w:t>
            </w: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75</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实验中学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272</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272</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28</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职业技术教育中心</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168</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168</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54</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第一幼儿园</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第二幼儿园</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前方民族幼儿园</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丰宁一小</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117</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117</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52</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丰宁二小</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120</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120</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46</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丰宁三小</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151</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151</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57</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丰宁四小</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105</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105</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17</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实验小学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112</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112</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丰宁六小</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125</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125</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丰宁七小</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61</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61</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小川小学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93</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93</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37</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大滩中心校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101</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101</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46</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鱼儿山中心校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75</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75</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36</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万胜永中心校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四岔口中心校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17</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17</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22</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苏家店中心校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20</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20</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草原中心校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24</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24</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外沟门中心校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30</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30</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大阁中心校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128</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128</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97</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五道营中心校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37</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37</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23</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南关中心校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91</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91</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46</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土城中心校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95</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95</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50</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黄旗中心校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75</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75</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46</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窟窿山中心校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17</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17</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小坝子中心校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21</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21</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选营中心校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76</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76</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39</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西官营中心校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67</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67</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35</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凤山中心校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112</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112</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97</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王营中心校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28</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28</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14</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北头营中心校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29</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29</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8</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波罗诺中心校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54</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54</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27</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黑山嘴中心校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127</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127</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44</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胡麻营中心校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77</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77</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48</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石人沟中心校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75</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75</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34</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天桥中心校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38</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38</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25</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汤河中心校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31</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31</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21</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杨木栅子中心校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30</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30</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25</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丰宁二中</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189</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209</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36</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丰宁三中</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184</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184</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40</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丰宁四中</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63</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63</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大滩中学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45</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45</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平安堡中学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47</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47</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外沟门中学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24</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24</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白塔中学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49</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49</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12</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南关中学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56</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56</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土城中学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53</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53</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黄旗中学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43</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43</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11</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选营中学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60</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60</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凤山二中</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156</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156</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24</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窄岭中学</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108</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108</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10</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教育局</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w:t>
            </w: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99</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6</w:t>
            </w: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99</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36</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青少年活动中心</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10</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10</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土城汽校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12</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进修学校</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19</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19</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24</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91" w:type="dxa"/>
            <w:tcBorders>
              <w:top w:val="single" w:color="auto" w:sz="4" w:space="0"/>
              <w:bottom w:val="single" w:color="auto" w:sz="4" w:space="0"/>
            </w:tcBorders>
            <w:vAlign w:val="center"/>
          </w:tcPr>
          <w:p>
            <w:pPr>
              <w:jc w:val="center"/>
              <w:rPr>
                <w:rFonts w:asciiTheme="minorEastAsia" w:hAnsiTheme="minorEastAsia" w:cstheme="minorEastAsia"/>
                <w:sz w:val="28"/>
              </w:rPr>
            </w:pPr>
            <w:r>
              <w:rPr>
                <w:rFonts w:hint="eastAsia" w:asciiTheme="minorEastAsia" w:hAnsiTheme="minorEastAsia" w:cstheme="minorEastAsia"/>
                <w:sz w:val="28"/>
              </w:rPr>
              <w:t>特教中心</w:t>
            </w:r>
          </w:p>
        </w:tc>
        <w:tc>
          <w:tcPr>
            <w:tcW w:w="85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410"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26</w:t>
            </w:r>
          </w:p>
        </w:tc>
        <w:tc>
          <w:tcPr>
            <w:tcW w:w="111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1215"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26</w:t>
            </w:r>
          </w:p>
        </w:tc>
        <w:tc>
          <w:tcPr>
            <w:tcW w:w="69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640"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c>
          <w:tcPr>
            <w:tcW w:w="927" w:type="dxa"/>
            <w:tcBorders>
              <w:top w:val="single" w:color="auto" w:sz="4" w:space="0"/>
              <w:bottom w:val="single" w:color="auto" w:sz="4" w:space="0"/>
            </w:tcBorders>
            <w:vAlign w:val="center"/>
          </w:tcPr>
          <w:p>
            <w:pPr>
              <w:widowControl/>
              <w:jc w:val="center"/>
              <w:rPr>
                <w:rFonts w:ascii="仿宋" w:hAnsi="仿宋" w:eastAsia="仿宋" w:cs="仿宋"/>
                <w:sz w:val="24"/>
                <w:szCs w:val="24"/>
              </w:rPr>
            </w:pPr>
            <w:r>
              <w:rPr>
                <w:rFonts w:hint="eastAsia" w:ascii="仿宋" w:hAnsi="仿宋" w:eastAsia="仿宋" w:cs="仿宋"/>
                <w:sz w:val="24"/>
                <w:szCs w:val="24"/>
              </w:rPr>
              <w:t>15</w:t>
            </w:r>
          </w:p>
        </w:tc>
        <w:tc>
          <w:tcPr>
            <w:tcW w:w="585" w:type="dxa"/>
            <w:tcBorders>
              <w:top w:val="single" w:color="auto" w:sz="4" w:space="0"/>
              <w:bottom w:val="single" w:color="auto" w:sz="4" w:space="0"/>
            </w:tcBorders>
            <w:vAlign w:val="center"/>
          </w:tcPr>
          <w:p>
            <w:pPr>
              <w:widowControl/>
              <w:jc w:val="center"/>
              <w:rPr>
                <w:rFonts w:ascii="仿宋" w:hAnsi="仿宋" w:eastAsia="仿宋" w:cs="仿宋"/>
                <w:sz w:val="24"/>
                <w:szCs w:val="24"/>
              </w:rPr>
            </w:pP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部门预算单位构成：</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教育局包含五十八个预算单位 ，其中一级预算单位三个即丰宁满族自治县第一中学，丰宁满族自治县职业技术教育中心，丰宁满族自治县实验中学，二级预算单位五十四个，具体学校名单如下：</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1、学前教育3个：第一幼儿园、第二幼儿园、前方民族幼儿园；</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小学教育34个：丰宁一小、丰宁二小、丰宁三小、丰宁四小、实验小学、丰宁六小、丰宁七小、小川小学、大滩中心校、鱼儿山中心校、万胜永中心校、四岔口中心校、苏家店中心校、草原中心校、外沟门中心校、大阁中心校、五道营中心校、南关中心校、土城中心校、黄旗中心校、窟窿山中心校、小坝子中心校、选营中心校、西官营中心校、凤山中心校、王营中心校、北头营中心校、波罗诺中心校、黑山嘴中心校、胡麻营中心校、石人沟中心校、天桥中心校、汤河中心校、杨木栅子中心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3、初中教育13个：丰宁二中、丰宁三中、丰宁四中、大滩中学、平安堡中学、外沟门中学、白塔中学、南关中学、土城中学、黄旗中学、选营中学、凤山二中、窄岭中学；</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4、其他教育5个：教育局、土城汽校、进修学校、青少年活动中心、特教中心。</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以上单位均为全额事业单位本次公开的预算包含教育局机关本级预算和所属单位预算在内的汇总预算。</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按照预算管理有关规定，目前我县部门预算的编制实行综合预算管理，即全部收入和支出都反映在预算中。丰宁满族自治县及所属事业单位的收支包含在部门预算中。</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反映本部门当年全部收入。2020年预算收入79608.10万元，其中：一般公共预算收入79335.65万元，基金预算收入272.45万元，财政专户核拨收入0万元，其他来源收入0万元。</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2、支出说明</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丰宁满族自治县教育和体育局年度部门预算中支出预算的总体情况。2020年支出预算79608.10万元，其中基本支出53181.90万元，包括人员经费52188.79万元和日常公用经费993.11万元；项目支出26426.20万元，主要用于生源经费、特岗教师经费、薄弱学校改造及退休民师教龄津贴。</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3、比上年增减情况</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2020年预算收支安排79608.10万元，较2019年预算增加8242.6万元，其中：基本支出增加1050.18万元，主要为增加人员经费支出；项目支出增加7192.42万元，主要为增加取暖补贴等项目。</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三、机关运行经费安排情况</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2020年，我局机关运行经费共计安排993.11万元，主要用于办公费、差旅费、工会费、福利费及其它日常运行支出。</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四、财政拨款“三公”经费预算情况及增减变化原因</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我局财政拨款“三公”经费预算安排48万元，其中因公出国（境）费0万元；公务用车购置及运维费10万元（其中：公务用车购置费为0万元，公务用车运维费10万元)；培训费38万元。与2019年相比增加39万元，增加的主要原因是：公务用车维修费比上年增加1万元，2020年公务车老化需大修。财务制度改革需要所有财务人员进全员培训。</w:t>
      </w:r>
    </w:p>
    <w:p>
      <w:pPr>
        <w:spacing w:line="54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（三）项目绩效目标</w:t>
      </w:r>
    </w:p>
    <w:p>
      <w:pPr>
        <w:spacing w:line="540" w:lineRule="exact"/>
        <w:ind w:firstLine="642"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项目绩效总目标</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一、全面贯彻党的十九大精神，完善党组织建设、廉政建设和作风建设，为教育发展营造政治环境</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二、加强教师干部队伍建设，做好教育扶贫等各项工作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三、优化城乡教育资源，补齐短板，为优质均衡发展创造条件</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四、强化德育教育，深化教学改革，为质量提升提供强劲动力</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五、深化改革，加强学校内涵建设，全面提升学校办学水平</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六、落实安稳管理责任，消除隐患，为教育发展提供安全保障</w:t>
      </w:r>
    </w:p>
    <w:p>
      <w:pPr>
        <w:spacing w:line="54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项目绩效分项目标</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一是</w:t>
      </w:r>
      <w:r>
        <w:rPr>
          <w:rFonts w:hint="eastAsia" w:ascii="仿宋_GB2312" w:hAnsi="仿宋_GB2312" w:eastAsia="仿宋_GB2312" w:cs="仿宋_GB2312"/>
          <w:sz w:val="32"/>
          <w:szCs w:val="32"/>
        </w:rPr>
        <w:t>对中小学幼儿园改造项目33个进行资料查看，截止检查日，个别项目已交付使用，未进行工程结算。</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二是</w:t>
      </w:r>
      <w:r>
        <w:rPr>
          <w:rFonts w:hint="eastAsia" w:ascii="仿宋_GB2312" w:hAnsi="仿宋_GB2312" w:eastAsia="仿宋_GB2312" w:cs="仿宋_GB2312"/>
          <w:sz w:val="32"/>
          <w:szCs w:val="32"/>
        </w:rPr>
        <w:t>人员和经费类项目已全部实施完成。</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（2）效益指标</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时效指标:从以上评价的所有项目看是否全部在工程合同期内圆满交付使用，是否达到了项目的时效性。</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成本性指标：以上评价项目通过实地查验、招标资料、全部从工程及采购商品上是否很好的控制了成本，为国家节约了大量资金。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经济效益指标:从产业全覆盖项目是否都圆满达到同期经济收入预期，基础设施建设项目是否也很好的能完成助力经济发展的重任，是否改善中小学提高受益群体的学习质量。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在对项目核查过程中群众和学校学生满意度达到95%以上。</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二、项目单位绩效自评情况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个项目实施股室对本单位实施的项目及预算进行了自评，评级报告准备的资料基本完整，评价体系制定科学，自评覆盖面广，评价内容完整，绩效目标设置合理，自评结果客观，评价结果应用充分。预算执行率高，绩效自评结果与绩效评价指标相符性较高。</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三、绩效评价工作情况</w:t>
      </w:r>
    </w:p>
    <w:p>
      <w:pPr>
        <w:spacing w:line="54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（一）本次绩效评价的目的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是针对国家大方针指导下全面改善贫困地区农村义务教育薄弱学校基本办学条件工程的实施，促进了农村义务教育阶段各学校办学条件的极大改善，在教育教学设施、学校生活设施满、留守儿童学习和寄宿生生活条件、农村小学和教学点办学条件等各个方面均得到提升。因此进行此次绩效评价是有力的监督项目及预算资金高效益发挥其应有的作用。同时绩效评价可以客观公正地揭示财政资金的使用效益和政府职能的实现程度，完善公共财政体系，强化预算支出的责任和效率。</w:t>
      </w:r>
    </w:p>
    <w:p>
      <w:pPr>
        <w:spacing w:line="54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（二）评价原则</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科学规范原则，要求绩效评价严格遵循既定程序，科学可行；分级分类则要求根据评价对象特点分类组织实施；绩效相关则要求支出与其产出之间有紧密相关关系；然后，评价结果应客观公正，并接受社会公开监督；运用科学合理的绩效评价指标、评价标准和评价方法，对财政支出的经济性、效率性和效益性进行客观、公正的评价。</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2、制定科学合理完整的评价体系表（后附评价体系表）。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3、评价方法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本效益比较法。针对财政支出确定的目标，在目标效益额相同的情况下，对支出项目中发生的各种正常开支、额外开支和特殊费用等进行比较，以最小成本取得最大效益为优。（2）目标预定与实施效果比较法。通过比较财政支出所产生的实际结果与预定的目标，分析完成（或未完成）目标的因素，从而评价财政支出绩效。</w:t>
      </w:r>
    </w:p>
    <w:p>
      <w:pPr>
        <w:spacing w:line="54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四、整体绩效评价工作过程</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部门整体评价工作开展</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（一）、绩效评价目的</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严格落实《预算法》及省、市绩效管理工作的有关规定，进一步规范财政资金的管理，强化财政支出绩效理念，提升部门责任意识，提高资金使用效益，促进教育的发展。</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（二）、绩效评价实施过程</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1、前期准备。按照绩效自评工作要求，成立了以财务主管局长为组长的绩效评价工作小组，于1月25日前完成现场评价工作。现场绩效评价工作主要有：</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①核实数据。对2020年度部门整体支出数据的准确性、真实性进行核实，将2020年度和2019年度部门整体支出情况进行比较分析。</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②查阅资料。查阅2020年度预算安排、非税收入、预算追加、资金管理、经费支出、资产管理等相关文件资料和财务凭证。</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③实地查看。现场查看实物资产等。</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④发放调查问卷。对部门履行职责情况的公众满意度进行调查。</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⑤归纳汇总。对提供的材料及自评报告，结合现场评价情况进行综合分析、归纳汇总。</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⑥评价组对各项评价指标进行分析讨论。</w:t>
      </w:r>
    </w:p>
    <w:p>
      <w:pPr>
        <w:spacing w:line="540" w:lineRule="exact"/>
        <w:ind w:firstLine="642" w:firstLineChars="200"/>
        <w:rPr>
          <w:rFonts w:ascii="黑体" w:hAnsi="黑体" w:eastAsia="黑体" w:cs="黑体"/>
          <w:b/>
          <w:sz w:val="32"/>
          <w:szCs w:val="32"/>
        </w:rPr>
      </w:pPr>
      <w:r>
        <w:rPr>
          <w:rFonts w:hint="eastAsia" w:ascii="黑体" w:hAnsi="黑体" w:eastAsia="黑体" w:cs="黑体"/>
          <w:b/>
          <w:sz w:val="32"/>
          <w:szCs w:val="32"/>
        </w:rPr>
        <w:t>五、存在问题和建议、主要经验及做法</w:t>
      </w:r>
    </w:p>
    <w:p>
      <w:pPr>
        <w:widowControl/>
        <w:shd w:val="clear" w:color="auto" w:fill="FFFFFF"/>
        <w:spacing w:line="570" w:lineRule="atLeast"/>
        <w:ind w:firstLine="64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（一）</w:t>
      </w:r>
      <w:r>
        <w:rPr>
          <w:rFonts w:hint="eastAsia" w:ascii="黑体" w:hAnsi="黑体" w:eastAsia="黑体" w:cs="黑体"/>
          <w:b/>
          <w:sz w:val="32"/>
          <w:szCs w:val="32"/>
        </w:rPr>
        <w:t>存在问题</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1、因部分工作是年中或年末根据省市相关要求开展，未纳入年初预算，另外还有部分不可预见经费的追加，无法纳入预算，导致预算执行存在偏差。</w:t>
      </w:r>
    </w:p>
    <w:p>
      <w:pPr>
        <w:widowControl/>
        <w:shd w:val="clear" w:color="auto" w:fill="FFFFFF"/>
        <w:spacing w:line="570" w:lineRule="atLeast"/>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2、固定资产管理有待进一步规范。有些学校固定资产管理无专人负责，有些房屋建筑物尚未办理房屋产权证。</w:t>
      </w:r>
    </w:p>
    <w:p>
      <w:pPr>
        <w:spacing w:line="54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（二）主要评价经验和做法</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 单位预算编制科学，民主理财、公开理财氛围浓厚，重大财务事项经由集体研究决策，财务制度健全。</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 预算执行方面。教育和体育局经费开支严格按预算执行，基本支出的日常财务管理工作由机关财务实行统一核算和统一管理，经费开支按用途使用合理，做到专帐专管,专款专用，不铺张浪费，开源节流。 “三公”经费方面，公务接待费及公务用车运行维护费用明显下降，2020年度县教育和体育局没有一起出国出境考察的情况。</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3、预算管理方面。我局制定了切实有效的内部管理制度和经费支出控制方案，有较强的内控风险管理意识、各项经费支出得到了有效控制。</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 整改措施或建议</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宋体" w:hAnsi="宋体" w:eastAsia="宋体" w:cs="宋体"/>
          <w:color w:val="333333"/>
          <w:kern w:val="0"/>
          <w:sz w:val="28"/>
          <w:szCs w:val="28"/>
        </w:rPr>
        <w:t>（</w:t>
      </w:r>
      <w:r>
        <w:rPr>
          <w:rFonts w:hint="eastAsia" w:ascii="仿宋_GB2312" w:hAnsi="仿宋_GB2312" w:eastAsia="仿宋_GB2312" w:cs="仿宋_GB2312"/>
          <w:sz w:val="32"/>
          <w:szCs w:val="32"/>
        </w:rPr>
        <w:t>一）科学合理编制预算，严格执行预算,避免年中大幅追加以及超预算。同时严格预算执行，提高资金使用效率。进一步完善、明确和细化各项费用支出管理制度，严格控制招待费和各项费用支出。</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（二）加强固定资产的管理，配置专管部门和专管人员，对固定资产进行一次全面清查盘点，建立固定资产卡片，切实做到账卡相符、账物相符。</w:t>
      </w:r>
    </w:p>
    <w:p>
      <w:pPr>
        <w:widowControl/>
        <w:shd w:val="clear" w:color="auto" w:fill="FFFFFF"/>
        <w:spacing w:line="570" w:lineRule="atLeas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shd w:val="clear" w:color="auto" w:fill="FFFFFF"/>
        <w:spacing w:line="570" w:lineRule="atLeas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丰宁满族自治县教育和体育局</w:t>
      </w:r>
    </w:p>
    <w:p>
      <w:pPr>
        <w:widowControl/>
        <w:shd w:val="clear" w:color="auto" w:fill="FFFFFF"/>
        <w:spacing w:line="36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2021年3月10日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Pr>
    <w:r>
      <w:fldChar w:fldCharType="begin"/>
    </w:r>
    <w:r>
      <w:rPr>
        <w:rStyle w:val="8"/>
      </w:rPr>
      <w:instrText xml:space="preserve"> PAGE  </w:instrText>
    </w:r>
    <w:r>
      <w:fldChar w:fldCharType="separate"/>
    </w:r>
    <w:r>
      <w:rPr>
        <w:rStyle w:val="8"/>
      </w:rPr>
      <w:t>20</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6619"/>
    <w:rsid w:val="00005BC9"/>
    <w:rsid w:val="000479AB"/>
    <w:rsid w:val="000651ED"/>
    <w:rsid w:val="00093DBF"/>
    <w:rsid w:val="000C0DF1"/>
    <w:rsid w:val="000E6619"/>
    <w:rsid w:val="000F6157"/>
    <w:rsid w:val="0010730B"/>
    <w:rsid w:val="00116436"/>
    <w:rsid w:val="00127EBB"/>
    <w:rsid w:val="00145D97"/>
    <w:rsid w:val="0016412D"/>
    <w:rsid w:val="001960FC"/>
    <w:rsid w:val="001B688B"/>
    <w:rsid w:val="001D0A4E"/>
    <w:rsid w:val="001E4CC5"/>
    <w:rsid w:val="00242D84"/>
    <w:rsid w:val="002672ED"/>
    <w:rsid w:val="002B60F1"/>
    <w:rsid w:val="00346202"/>
    <w:rsid w:val="003F4279"/>
    <w:rsid w:val="003F747B"/>
    <w:rsid w:val="00400F9E"/>
    <w:rsid w:val="00402EB2"/>
    <w:rsid w:val="00407731"/>
    <w:rsid w:val="004426A7"/>
    <w:rsid w:val="00483396"/>
    <w:rsid w:val="004905B6"/>
    <w:rsid w:val="004B12BF"/>
    <w:rsid w:val="005137D9"/>
    <w:rsid w:val="00587E45"/>
    <w:rsid w:val="005977A9"/>
    <w:rsid w:val="005D21CF"/>
    <w:rsid w:val="00624F7B"/>
    <w:rsid w:val="0064108A"/>
    <w:rsid w:val="0065554E"/>
    <w:rsid w:val="0066324B"/>
    <w:rsid w:val="00676D3D"/>
    <w:rsid w:val="006F3B3A"/>
    <w:rsid w:val="007051F3"/>
    <w:rsid w:val="00723AE0"/>
    <w:rsid w:val="007620B1"/>
    <w:rsid w:val="0078106A"/>
    <w:rsid w:val="007D1B66"/>
    <w:rsid w:val="008304E8"/>
    <w:rsid w:val="00836D55"/>
    <w:rsid w:val="00841AAB"/>
    <w:rsid w:val="00845F62"/>
    <w:rsid w:val="0085555C"/>
    <w:rsid w:val="008955E4"/>
    <w:rsid w:val="008E4E67"/>
    <w:rsid w:val="00937E1B"/>
    <w:rsid w:val="00941FC7"/>
    <w:rsid w:val="009A1722"/>
    <w:rsid w:val="009B5F3C"/>
    <w:rsid w:val="00A9653F"/>
    <w:rsid w:val="00AA513F"/>
    <w:rsid w:val="00AC595B"/>
    <w:rsid w:val="00AE486F"/>
    <w:rsid w:val="00AF37BE"/>
    <w:rsid w:val="00AF4296"/>
    <w:rsid w:val="00B749AD"/>
    <w:rsid w:val="00B76BE1"/>
    <w:rsid w:val="00C00298"/>
    <w:rsid w:val="00C16FC9"/>
    <w:rsid w:val="00C36338"/>
    <w:rsid w:val="00C96A4F"/>
    <w:rsid w:val="00CA135A"/>
    <w:rsid w:val="00CD474C"/>
    <w:rsid w:val="00CE4549"/>
    <w:rsid w:val="00D13173"/>
    <w:rsid w:val="00D53A22"/>
    <w:rsid w:val="00DD2F76"/>
    <w:rsid w:val="00DD4312"/>
    <w:rsid w:val="00DF001A"/>
    <w:rsid w:val="00E30946"/>
    <w:rsid w:val="00E44694"/>
    <w:rsid w:val="00E46025"/>
    <w:rsid w:val="00E64A4F"/>
    <w:rsid w:val="00E8745A"/>
    <w:rsid w:val="00E91ACF"/>
    <w:rsid w:val="00EB4A22"/>
    <w:rsid w:val="00EF2E45"/>
    <w:rsid w:val="00F03EB9"/>
    <w:rsid w:val="00FA0BEA"/>
    <w:rsid w:val="00FB062C"/>
    <w:rsid w:val="00FB16EC"/>
    <w:rsid w:val="00FB56A2"/>
    <w:rsid w:val="5D2B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unhideWhenUsed/>
    <w:qFormat/>
    <w:uiPriority w:val="99"/>
  </w:style>
  <w:style w:type="character" w:customStyle="1" w:styleId="9">
    <w:name w:val="标题 2 Char"/>
    <w:basedOn w:val="7"/>
    <w:link w:val="2"/>
    <w:qFormat/>
    <w:uiPriority w:val="9"/>
    <w:rPr>
      <w:rFonts w:ascii="宋体" w:hAnsi="宋体" w:eastAsia="宋体" w:cs="宋体"/>
      <w:b/>
      <w:bCs/>
      <w:kern w:val="0"/>
      <w:sz w:val="36"/>
      <w:szCs w:val="36"/>
    </w:rPr>
  </w:style>
  <w:style w:type="paragraph" w:customStyle="1" w:styleId="1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character" w:customStyle="1" w:styleId="14">
    <w:name w:val="页脚 Char1"/>
    <w:basedOn w:val="7"/>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1590</Words>
  <Characters>9065</Characters>
  <Lines>75</Lines>
  <Paragraphs>21</Paragraphs>
  <TotalTime>116</TotalTime>
  <ScaleCrop>false</ScaleCrop>
  <LinksUpToDate>false</LinksUpToDate>
  <CharactersWithSpaces>10634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2021-03-10T10:27:00Z</dcterms:created>
  <dc:creator>xtzj</dc:creator>
  <cp:lastModifiedBy>zfb</cp:lastModifiedBy>
  <dcterms:modified xsi:type="dcterms:W3CDTF">2024-07-02T17:04:26Z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