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17" w:lineRule="exact"/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中共丰宁满族自治县委宣传部</w:t>
      </w:r>
    </w:p>
    <w:p>
      <w:pPr>
        <w:spacing w:line="717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2020年度项目绩效自评工作报告</w:t>
      </w:r>
    </w:p>
    <w:p>
      <w:pPr>
        <w:spacing w:line="520" w:lineRule="exact"/>
        <w:jc w:val="center"/>
        <w:rPr>
          <w:rFonts w:ascii="楷体" w:hAnsi="楷体" w:eastAsia="楷体"/>
          <w:sz w:val="32"/>
          <w:szCs w:val="32"/>
        </w:rPr>
      </w:pPr>
    </w:p>
    <w:p>
      <w:pPr>
        <w:spacing w:line="600" w:lineRule="exact"/>
        <w:rPr>
          <w:rFonts w:ascii="方正仿宋_GBK" w:hAnsi="宋体" w:eastAsia="方正仿宋_GBK" w:cs="宋体"/>
          <w:sz w:val="32"/>
          <w:szCs w:val="32"/>
          <w:lang w:val="zh-TW" w:eastAsia="zh-TW" w:bidi="zh-TW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方正仿宋_GBK" w:hAnsi="宋体" w:eastAsia="方正仿宋_GBK" w:cs="宋体"/>
          <w:sz w:val="32"/>
          <w:szCs w:val="32"/>
          <w:lang w:val="zh-TW" w:eastAsia="zh-TW" w:bidi="zh-TW"/>
        </w:rPr>
        <w:t xml:space="preserve"> 为深入贯彻落实《丰宁满族自治县财政局关于开展2020年度县级预算部门绩效自评工作的通知》，我单位对2020年度专项资金开展绩效评价。评价报告如下：</w:t>
      </w:r>
    </w:p>
    <w:p>
      <w:pPr>
        <w:pStyle w:val="15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项目概况（共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二十二</w:t>
      </w:r>
      <w:r>
        <w:rPr>
          <w:rFonts w:hint="eastAsia" w:ascii="黑体" w:hAnsi="黑体" w:eastAsia="黑体"/>
          <w:b/>
          <w:sz w:val="32"/>
          <w:szCs w:val="32"/>
        </w:rPr>
        <w:t>项）</w:t>
      </w:r>
    </w:p>
    <w:p>
      <w:pPr>
        <w:spacing w:line="520" w:lineRule="exact"/>
        <w:ind w:firstLine="56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意识形态工作经费</w:t>
      </w:r>
      <w:r>
        <w:rPr>
          <w:rFonts w:ascii="仿宋" w:hAnsi="仿宋" w:eastAsia="仿宋" w:cs="Times New Roman"/>
          <w:b/>
          <w:color w:val="000000"/>
          <w:kern w:val="0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进一步加强和改进意识形态工作，每年召开理论学习中心组学习至少12次、专题研讨4次，并结集出版成书。</w:t>
      </w:r>
    </w:p>
    <w:p>
      <w:pPr>
        <w:spacing w:line="520" w:lineRule="exact"/>
        <w:ind w:firstLine="56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十九届四中全会宣讲经费：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面对全县宣讲党的十九届四中全会精神，深入人心。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外宣费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接待县内县外主要活动，以及媒体记者的接待及传播工作；宣传员、舆情员、网评员、通讯员的培训。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冀财教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(2019)-139号提前下达2020年中央专项彩票公益金支持乡村学校少年宫项目: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2020年新建设5个乡村学校少年宫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;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用于已建成的19个乡村学校少年宫的运营经费。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精神文明建设和文明城市创建经费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提升全县精神文明建设水平，开展文明乡镇、文明社区、文明单位、文明校园、文明家庭创建，开展志愿服务活动，组织开展</w:t>
      </w:r>
      <w:r>
        <w:rPr>
          <w:rFonts w:hint="default" w:ascii="仿宋_GB2312" w:eastAsia="仿宋_GB2312"/>
          <w:sz w:val="32"/>
          <w:szCs w:val="32"/>
          <w:lang w:val="zh-CN" w:eastAsia="zh-CN"/>
        </w:rPr>
        <w:t>“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善行河北、积善承德、大爱丰宁</w:t>
      </w:r>
      <w:r>
        <w:rPr>
          <w:rFonts w:hint="default" w:ascii="仿宋_GB2312" w:eastAsia="仿宋_GB2312"/>
          <w:sz w:val="32"/>
          <w:szCs w:val="32"/>
          <w:lang w:val="zh-CN" w:eastAsia="zh-CN"/>
        </w:rPr>
        <w:t>”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主题教育活动；继续推进新一轮文明城创建工作，不断提升城市文明程度和市民的文明素质。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文化产业引导资金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按照省委、省政府要求，为提高全县文化产业的发展水平，以政府引导的方式，通过奖励、补助、贴息等多种方式，鼓励文化产业发展，增加文化产业占</w:t>
      </w:r>
      <w:r>
        <w:rPr>
          <w:rFonts w:hint="default" w:ascii="仿宋_GB2312" w:eastAsia="仿宋_GB2312"/>
          <w:sz w:val="32"/>
          <w:szCs w:val="32"/>
          <w:lang w:val="zh-CN" w:eastAsia="zh-CN"/>
        </w:rPr>
        <w:t>jdp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的比重。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中国影像方志采访拍摄费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学习宣传贯彻党的十九届四中全会精神，记录中华民族伟大复兴的光辉历程，拍摄《中国影像方志.河北卷.丰宁篇》。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冀财教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(2019)-113号提前下达2020年省级国家电影事业发展专项资金: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冀财教（2019）113号关于下达2020年国家电影事业发展省级专项资金（华纳影城）项目。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冀财教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(2019)-134号2020年中央补助地方公共文化服务体系建设专项资金: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冀财教（2019）134号关于提前下达2020年省级公共文化服务体系建设补助资金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冀财教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(2019)-99号提前下达2020年中央补助地方国家电影事业发展专项资金: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冀财教（2019）99号关于下达2020年中央补助地方国家影视业发展专项项目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公益电影放映和老放映员生活补助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农村公益电影放映和老放映员补助项目。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农村公益电影放映和老放映员生活补助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农村公益电影放映和老放映员补助项目。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意识形态工作经费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进一步加强和改进意识形态工作，每年召开理论学习中心组学习至少12次、专题研讨4次，并结集出版成书。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2020年村庄私图乱画整治资金: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对全县80个村的私图乱画整治工作。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冀财教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(2019)-144号提前下达2020年省级宣传文化发展资金: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用于承办全省精神扶贫、文化扶贫现场观摩会。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2019年孝心养老奖补资金: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按照县防返贫机制的相关文件精神和县扶贫领导小组会议的部署，县文明办承担了孝心养老工作，县级补助101.9862万元。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2020年孝心养老防贫补助资金: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用于纳入孝心养老台账，并有缴纳赡养费户的村，儿女为老人缴纳赡养费后对老人再进行补助，补助的方式是在扶贫爱心超市兑换相应金额的物品。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2020年道德银行+扶贫爱心超市奖补资金: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用于我县各乡镇、开发区各村，含新丰路街道办和县城异地搬迁集中安置区的扶贫爱心超市建设。一次性拨付到各乡镇、街道、开发区和县城异地搬迁集中安置区。</w:t>
      </w:r>
    </w:p>
    <w:p>
      <w:pPr>
        <w:spacing w:line="520" w:lineRule="exact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深度贫困村村庄美化质保金: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2019年深度贫困村村庄美化质保金。</w:t>
      </w:r>
    </w:p>
    <w:p>
      <w:pPr>
        <w:spacing w:line="520" w:lineRule="exact"/>
        <w:ind w:firstLine="56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冀财教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(2019)-134号提前下达2020年中央补助地方公共文化服务体系建设资金: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用于支持309个村开展各类文化活动，支持基层公共文化服务基础设施提升。</w:t>
      </w:r>
    </w:p>
    <w:p>
      <w:pPr>
        <w:spacing w:line="520" w:lineRule="exact"/>
        <w:ind w:firstLine="56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冀财教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(2019)-143号提前下达2020年省级公共文化服务体系建设资金：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农村公益电影放映场次补贴，乡镇电影放映原生活补助，舞台艺术精品工程补助等。</w:t>
      </w:r>
    </w:p>
    <w:p>
      <w:pPr>
        <w:spacing w:line="520" w:lineRule="exact"/>
        <w:ind w:firstLine="56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冀财教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(2020)-121号中央补助地方国家电影事业发展专项资金（华纳影城）：</w:t>
      </w:r>
      <w:r>
        <w:rPr>
          <w:rFonts w:hint="eastAsia" w:ascii="仿宋_GB2312" w:eastAsia="仿宋_GB2312"/>
          <w:sz w:val="32"/>
          <w:szCs w:val="32"/>
          <w:lang w:val="zh-CN" w:eastAsia="zh-CN"/>
        </w:rPr>
        <w:t>冀财教（2020）121号关于中央补助地方国家电影事业发展省级专项资金（华纳影城）项目。</w:t>
      </w:r>
    </w:p>
    <w:p>
      <w:pPr>
        <w:spacing w:line="600" w:lineRule="exact"/>
        <w:ind w:firstLine="160" w:firstLineChars="5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二、项目执行资金文号</w:t>
      </w:r>
    </w:p>
    <w:p>
      <w:pPr>
        <w:spacing w:line="600" w:lineRule="exact"/>
        <w:ind w:firstLine="656" w:firstLineChars="205"/>
        <w:rPr>
          <w:rFonts w:ascii="方正仿宋_GBK" w:eastAsia="方正仿宋_GBK"/>
          <w:color w:val="auto"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color w:val="auto"/>
          <w:sz w:val="32"/>
          <w:szCs w:val="32"/>
        </w:rPr>
        <w:t>丰财预【2020】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/>
          <w:color w:val="auto"/>
          <w:sz w:val="32"/>
          <w:szCs w:val="32"/>
        </w:rPr>
        <w:t>号</w:t>
      </w:r>
    </w:p>
    <w:bookmarkEnd w:id="0"/>
    <w:p>
      <w:pPr>
        <w:spacing w:line="600" w:lineRule="exact"/>
        <w:ind w:firstLine="160" w:firstLineChars="5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三、使用及管理情况</w:t>
      </w:r>
    </w:p>
    <w:p>
      <w:pPr>
        <w:spacing w:line="600" w:lineRule="exact"/>
        <w:ind w:firstLine="656" w:firstLineChars="20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专项资金管理和使用坚持专款专用，专账管理、专人负责，严格监管原则，确保收支平衡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160" w:firstLineChars="5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四、专项组织实施情况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我单位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个专项工作均已完成当年计划，完成了年度绩效目标。所有项目的日常管理工作均按照我单位相关管理制度执行，建立了工作有计划、实施有方案、日常有监督的管理机制，工作取得了较好的成效，效能得到了提高、获得了社会公众的好评100%。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160" w:firstLineChars="5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五、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专项绩效情况分析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我单位2020年度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个专项，从项目立项、资金落实、业务管理到财务管理、项目产出、项目效益，服务对象满意度7项二级指标得分都很高，总分达到100分。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1、项目立项：项目的申请、设立过程符合相关要求，设定的绩效目标合理，绩效指标细化、明确、清晰、可衡量。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2、资金落实：资金落实到位情况良好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3、业务管理：管理制度健全、制度执行有效、项目质量可控。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4、财务管理：管理制度健全、资金使用合规、财务监控有效。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5、项目产出：数量指标100%。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6、社会效益指标：知晓度100%，提高率100%，社会影响力100%，宣传力度100%，统计率100%，工作完成率100%。</w:t>
      </w:r>
      <w:r>
        <w:rPr>
          <w:rFonts w:ascii="方正仿宋_GBK" w:eastAsia="方正仿宋_GBK" w:hAnsiTheme="minorHAnsi" w:cstheme="minorBidi"/>
          <w:kern w:val="2"/>
          <w:sz w:val="32"/>
          <w:szCs w:val="32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7、满意度指标：服务对象满意度100%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160" w:firstLineChars="50"/>
        <w:jc w:val="both"/>
        <w:rPr>
          <w:rFonts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六、基本经验及主要做法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为做好我单位专项资金的使用，定期进行对资金使用的跟踪，确保专项资金使用达到预期绩效目标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160" w:firstLineChars="50"/>
        <w:jc w:val="both"/>
        <w:rPr>
          <w:rFonts w:ascii="仿宋" w:hAnsi="仿宋" w:eastAsia="仿宋" w:cs="Times New Roman"/>
          <w:b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七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、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意见及建议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1、进一步健全专项资金管理及内部控制制度，创新管理手段，用新思路、新方法，改进完善财务管理方法。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585"/>
        <w:jc w:val="both"/>
        <w:rPr>
          <w:rFonts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2、按照财政支出绩效管理的要求，建立科学的财政资金效益考评制度体系，不断提高财政资金使用管理的水平和效率。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3200" w:firstLineChars="1000"/>
        <w:rPr>
          <w:rFonts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3200" w:firstLineChars="1000"/>
        <w:jc w:val="both"/>
        <w:rPr>
          <w:rFonts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附件：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附件1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意识形态工作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经费项目支出绩效自评表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附件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十九届四中全会宣讲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经费项目支出绩效自评表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外宣费项目支出绩效自评表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冀财教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(2019)-139号提前下达2020年中央专项彩票公益金支持乡村学校少年宫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精神文明建设和文明城市创建经费项目支出绩效自评表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文化产业引导资金项目支出绩效自评表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中国影像方志采访拍摄费项目支出绩效自评表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冀财教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(2019)-113号提前下达2020年省级国家电影事业发展专项资金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冀财教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(2019)-134号2020年中央补助地方公共文化服务体系建设专项资金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附件1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冀财教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(2019)-99号提前下达2020年中央补助地方国家电影事业发展专项资金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附件1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公益电影放映和老放映员生活补助项目支出绩效自评表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附件1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农村公益电影放映和老放映员生活补助项目支出绩效自评表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附件1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意识形态工作经费项目支出绩效自评表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附件1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42020年村庄私图乱画整治资金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附件1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冀财教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(2019)-144号提前下达2020年省级宣传文化发展资金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附件1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62019年孝心养老奖补资金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附件1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72020年孝心养老防贫补助资金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附件1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82020年道德银行+扶贫爱心超市奖补资金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附件1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9深度贫困村村庄美化质保金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冀财教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(2019)-134号提前下达2020年中央补助地方公共文化服务体系建设资金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1冀财教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(2019)-143号提前下达2020年省级公共文化服务体系建设资金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冀财教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(2020)-121号中央补助地方国家电影事业发展专项资金（华纳影城）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项目支出绩效自评表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3200" w:firstLineChars="1000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3200" w:firstLineChars="1000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3200" w:firstLineChars="1000"/>
        <w:rPr>
          <w:rFonts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jc w:val="right"/>
        <w:rPr>
          <w:rFonts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eastAsia="zh-CN"/>
        </w:rPr>
        <w:t>中共丰宁满族自治县委宣传部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4723" w:firstLineChars="1476"/>
        <w:jc w:val="both"/>
        <w:rPr>
          <w:rFonts w:ascii="方正仿宋_GBK" w:eastAsia="方正仿宋_GBK" w:hAnsiTheme="minorHAnsi" w:cstheme="minorBidi"/>
          <w:kern w:val="2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2021年2月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 w:hAnsiTheme="minorHAnsi" w:cstheme="minorBidi"/>
          <w:kern w:val="2"/>
          <w:sz w:val="32"/>
          <w:szCs w:val="32"/>
        </w:rPr>
        <w:t>日</w:t>
      </w: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4640" w:firstLineChars="1450"/>
        <w:jc w:val="both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4640" w:firstLineChars="1450"/>
        <w:jc w:val="both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4640" w:firstLineChars="1450"/>
        <w:jc w:val="both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4640" w:firstLineChars="1450"/>
        <w:jc w:val="both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jc w:val="both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ind w:firstLine="4640" w:firstLineChars="1450"/>
        <w:jc w:val="both"/>
        <w:rPr>
          <w:rFonts w:hint="eastAsia" w:ascii="方正仿宋_GBK" w:eastAsia="方正仿宋_GBK" w:hAnsiTheme="minorHAnsi" w:cstheme="minorBidi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540" w:lineRule="atLeast"/>
        <w:jc w:val="both"/>
        <w:rPr>
          <w:rFonts w:ascii="方正仿宋_GBK" w:eastAsia="方正仿宋_GBK" w:hAnsiTheme="minorHAnsi" w:cstheme="minorBidi"/>
          <w:kern w:val="2"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意识形态工作</w:t>
      </w:r>
      <w:r>
        <w:rPr>
          <w:rFonts w:hint="eastAsia"/>
          <w:b/>
          <w:sz w:val="44"/>
          <w:szCs w:val="44"/>
        </w:rPr>
        <w:t>经费项目支出绩效自评表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意识形态工作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县理论学习中心组全年学习12次，为县理论学习中心组服好务，突出抓好多级理论学习中心组学习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县理论学习中心组全年学习12次，为县理论学习中心组服好务，突出抓好多级理论学习中心组学习，效果明显。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十九届四中全会宣讲经费</w:t>
      </w:r>
      <w:r>
        <w:rPr>
          <w:rFonts w:hint="eastAsia"/>
          <w:b/>
          <w:sz w:val="44"/>
          <w:szCs w:val="44"/>
        </w:rPr>
        <w:t>项目支出绩效自评表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十九届四中全会宣讲经费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面对全县宣讲党的十九届四中全会精神，深入人心。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面对全县宣讲党的十九届四中全会精神，深入人心。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外宣费经费</w:t>
      </w:r>
      <w:r>
        <w:rPr>
          <w:rFonts w:hint="eastAsia"/>
          <w:b/>
          <w:sz w:val="44"/>
          <w:szCs w:val="44"/>
        </w:rPr>
        <w:t>项目支出绩效自评表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外宣费经费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加强和改进新闻发布工作，扩大对外宣传，开展多种形式的文化交流活动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加强和改进新闻发布工作，扩大对外宣传，开展多种形式的文化交流活动，效果显著。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4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冀财教(2019)-139号提前下达2020年中央专项彩票公益金支持乡村学校少年宫项目经费</w:t>
      </w:r>
      <w:r>
        <w:rPr>
          <w:rFonts w:hint="eastAsia"/>
          <w:b/>
          <w:sz w:val="44"/>
          <w:szCs w:val="44"/>
        </w:rPr>
        <w:t>项目支出绩效自评表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冀财教(2019)-139号提前下达2020年中央专项彩票公益金支持乡村学校少年宫项目经费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通过补助乡村学校少年宫，提高农村少年宫的活动次数和数量，提高农村学生的德育教育水平。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通过补助乡村学校少年宫，提高了农村少年宫的活动次数和数量，提高了农村学生的德育教育水平。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5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精神文明建设和文明城市创建经费</w:t>
      </w:r>
      <w:r>
        <w:rPr>
          <w:rFonts w:hint="eastAsia"/>
          <w:b/>
          <w:sz w:val="44"/>
          <w:szCs w:val="44"/>
        </w:rPr>
        <w:t>项目支出绩效自评表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精神文明建设和文明城市创建经费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开展文明乡镇、文明社区、文明校园等创建工作，提升全县精神文明建设水平、提升县城文明程度和市民文明素质。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开展文明乡镇、文明社区、文明校园等创建工作，提升全县精神文明建设水平、提升县城文明程度和市民文明素质。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6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文化产业引导资金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文化产业引导资金经费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通过支持文化企业发展，增加规模以上文化企业数量，提升全县文化产业发展水平。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lang w:val="zh-CN"/>
              </w:rPr>
              <w:t>通过支持文化企业发展，增加规模以上文化企业数量，提升了全县文化产业发展水平。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7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中国影像方志采访拍摄费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中国影像方志采访拍摄费经费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学习宣传贯彻党的十九届四中全会精神，记录中华民族伟大复兴的光辉历程，拍摄《中国影像方志.河北卷.丰宁篇》。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学习宣传贯彻党的十九届四中全会精神，记录中华民族伟大复兴的光辉历程，拍摄《中国影像方志.河北卷.丰宁篇》。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8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冀财教(2019)-113号提前下达2020年省级国家电影事业发展专项资金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冀财教(2019)-113号提前下达2020年省级国家电影事业发展专项资金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用于国家电影事业发展，对华纳影城进行改造提升。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2020年度华纳影城改造提升项目已完成。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9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冀财教(2019)-134号2020年中央补助地方公共文化服务体系建设专项资金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冀财教(2019)-134号2020年中央补助地方公共文化服务体系建设专项资金经费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37.08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37.08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37.08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37.08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37.08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37.08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华纳影城升级改造2017年已完成，加强技术管理、技术升级改造及设备设施维护，开展新技术应用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华纳影城升级改造2017年已完成，加强技术管理、技术升级改造及设备设施维护，开展新技术应用，目前还未拨付。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10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冀财教(2019)-99号提前下达2020年中央补助地方国家电影事业发展专项资金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冀财教(2019)-99号提前下达2020年中央补助地方国家电影事业发展专项资金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拨付华纳影城项目。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拨付华纳影城项目。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公益电影放映和老放映员生活补助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公益电影放映和老放映员生活补助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公益电影放映和老放映员生活补助资金。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公益电影放映和老放映员生活补助资金，已发放到位。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12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农村公益电影放映和老放映员生活补助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农村公益电影放映和老放映员生活补助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25.96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25.96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25.96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25.96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25.96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25.96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农村公益电影放映和老放映员生活补助资金。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农村公益电影放映和老放映员生活补助资金，已发放到位。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13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意识形态工作经费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意识形态工作经费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进一步加强和改进意识形态工作，每年召开理论学习中心组学习至少12次、集中研讨4次。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进一步加强和改进意识形态工作，每年召开理论学习中心组学习至少12次、集中研讨4次。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14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2020年村庄私图乱画整治资金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2020年村庄私图乱画整治资金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用于提升农村美化和乡风文明建设，对80个村进行私图乱画整治。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用于提升农村美化和乡风文明建设，对80个村进行私图乱画整治。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15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冀财教(2019)-144号提前下达2020年省级宣传文化发展资金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中国影像方志采访拍摄费经费冀财教(2019)-144号提前下达2020年省级宣传文化发展资金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学习贯彻习近平总书记关于扶贫工作的一系列重要论述，观摩交流开展精神扶贫文化扶贫工作的经验做法，增强贫困地区群众脱贫致富内生动力。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学习贯彻习近平总书记关于扶贫工作的一系列重要论述，观摩交流开展精神扶贫文化扶贫工作的经验做法，增强贫困地区群众脱贫致富内生动力。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16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2019年孝心养老奖补资金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2019年孝心养老奖补资金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101.9862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101.9862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101.9862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101.9862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101.9862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101.9862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按照县防返贫机制的相关文件精神和县扶贫领导小组会议的部署，县文明办承担了孝心养老工作。按照子女给付老人赡养费的10%，给与补助（每户不超过300元）的规定，2019年各乡镇统计缴纳赡养费户数3975户，缴纳金额1216.452万元，县级补助101.9862万元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按照县防返贫机制的相关文件精神和县扶贫领导小组会议的部署，县文明办承担了孝心养老工作。按照子女给付老人赡养费的10%，给与补助（每户不超过300元）的规定，2019年各乡镇统计缴纳赡养费户数3975户，缴纳金额1216.452万元，县级补助101.9862万元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17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2020年孝心养老防贫补助资金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2020年孝心养老防贫补助资金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102.371691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102.371691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102.371691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102.371691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102.371691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102.371691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用于纳入孝心养老台账，并有缴纳赡养费户的村，儿女为老人缴纳赡养费后对老人再进行补助，补助的方式是在扶贫爱心超市兑换相应金额的物品。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用于纳入孝心养老台账，并有缴纳赡养费户的村，儿女为老人缴纳赡养费后对老人再进行补助，补助的方式是在扶贫爱心超市兑换相应金额的物品。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18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2020年道德银行+扶贫爱心超市奖补资金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2020年道德银行+扶贫爱心超市奖补资金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508.4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508.4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508.4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508.4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508.4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508.4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用于我县各乡镇、开发区各村，含新丰路街道办和县城异地搬迁集中安置区的扶贫爱心超市建设。一次性拨付到各乡镇、街道、开发区和县城异地搬迁集中安置区。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用于我县各乡镇、开发区各村，含新丰路街道办和县城异地搬迁集中安置区的扶贫爱心超市建设。一次性拨付到各乡镇、街道、开发区和县城异地搬迁集中安置区。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19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深度贫困村村庄美化质保金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深度贫困村村庄美化质保金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5.9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5.9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5.9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5.9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5.9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5.9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对全县27个深度贫困村进行美化，重点完成私图乱画整治和标语广告整治，完成新时代文明实践站设置工作。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对全县27个深度贫困村进行美化，重点完成私图乱画整治和标语广告整治，完成新时代文明实践站设置工作。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20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冀财教(2019)-134号提前下达2020年中央补助地方公共文化服务体系建设资金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中国影像方志采访拍摄费经费冀财教(2019)-134号提前下达2020年中央补助地方公共文化服务体系建设资金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30.9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30.9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30.9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30.9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30.9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30.9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用于309个行政村购买农家书屋。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用于309个行政村购买农家书屋。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冀财教(2019)-143号提前下达2020年省级公共文化服务体系建设资金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冀财教(2019)-143号提前下达2020年省级公共文化服务体系建设资金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20.88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20.88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20.88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20.88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20.88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20.88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农村公益电影放映场次补贴，乡镇电影放映原生活补助，舞台艺术精品工程补助等。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lang w:val="zh-CN"/>
              </w:rPr>
              <w:t>农村公益电影放映场次补贴，乡镇电影放映原生活补助，舞台艺术精品工程补助等。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22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冀财教(2020)-121号中央补助地方国家电影事业发展专项资金（华纳影城）</w:t>
      </w:r>
      <w:r>
        <w:rPr>
          <w:rFonts w:hint="eastAsia"/>
          <w:b/>
          <w:sz w:val="44"/>
          <w:szCs w:val="44"/>
        </w:rPr>
        <w:t>支出绩效自评表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  2020  年度）</w:t>
      </w:r>
    </w:p>
    <w:tbl>
      <w:tblPr>
        <w:tblStyle w:val="8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72"/>
        <w:gridCol w:w="627"/>
        <w:gridCol w:w="985"/>
        <w:gridCol w:w="265"/>
        <w:gridCol w:w="1134"/>
        <w:gridCol w:w="475"/>
        <w:gridCol w:w="769"/>
        <w:gridCol w:w="827"/>
        <w:gridCol w:w="408"/>
        <w:gridCol w:w="186"/>
        <w:gridCol w:w="581"/>
        <w:gridCol w:w="20"/>
        <w:gridCol w:w="78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项目名称</w:t>
            </w:r>
          </w:p>
        </w:tc>
        <w:tc>
          <w:tcPr>
            <w:tcW w:w="7788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冀财教(2020)-121号中央补助地方国家电影事业发展专项资金（华纳影城）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主管部门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实施单位</w:t>
            </w:r>
          </w:p>
        </w:tc>
        <w:tc>
          <w:tcPr>
            <w:tcW w:w="229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中共丰宁满族自治县委宣传部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项目资金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（万元）</w:t>
            </w: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年初预算数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全年预算数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全年执行数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执行率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10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其他资金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总体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目标</w:t>
            </w: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预期目标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72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华纳影城升级改造2017年已完成，加强技术管理、技术升级改造及设备设施维护，开展新技术应用。 </w:t>
            </w:r>
          </w:p>
        </w:tc>
        <w:tc>
          <w:tcPr>
            <w:tcW w:w="353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华纳影城升级改造2017年已完成，加强技术管理、技术升级改造及设备设施维护，开展新技术应用。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一级指标</w:t>
            </w:r>
          </w:p>
        </w:tc>
        <w:tc>
          <w:tcPr>
            <w:tcW w:w="9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三级指标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指标值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实际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完成值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分值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得分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偏差原因分析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及改进措施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标</w:t>
            </w: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产出指标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数量指标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任务完成率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质量指标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预算执行（预算完成率）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年初预算配置(项目支出安排率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各项综合事务工作完成率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时效指标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资金管理（资金使用合规率）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成本指标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效益指标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促进地方经济发展，带动相关产业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促进社会发展，带动就业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可持续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影响指标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10分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满 意 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指    标</w:t>
            </w: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服务对象满意</w:t>
            </w: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&gt;=85%</w:t>
            </w: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100%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1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总分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6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p>
      <w:pPr>
        <w:spacing w:line="520" w:lineRule="exact"/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63815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030E"/>
    <w:multiLevelType w:val="multilevel"/>
    <w:tmpl w:val="410B030E"/>
    <w:lvl w:ilvl="0" w:tentative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99" w:hanging="420"/>
      </w:pPr>
    </w:lvl>
    <w:lvl w:ilvl="2" w:tentative="0">
      <w:start w:val="1"/>
      <w:numFmt w:val="lowerRoman"/>
      <w:lvlText w:val="%3."/>
      <w:lvlJc w:val="right"/>
      <w:pPr>
        <w:ind w:left="1919" w:hanging="420"/>
      </w:pPr>
    </w:lvl>
    <w:lvl w:ilvl="3" w:tentative="0">
      <w:start w:val="1"/>
      <w:numFmt w:val="decimal"/>
      <w:lvlText w:val="%4."/>
      <w:lvlJc w:val="left"/>
      <w:pPr>
        <w:ind w:left="2339" w:hanging="420"/>
      </w:pPr>
    </w:lvl>
    <w:lvl w:ilvl="4" w:tentative="0">
      <w:start w:val="1"/>
      <w:numFmt w:val="lowerLetter"/>
      <w:lvlText w:val="%5)"/>
      <w:lvlJc w:val="left"/>
      <w:pPr>
        <w:ind w:left="2759" w:hanging="420"/>
      </w:pPr>
    </w:lvl>
    <w:lvl w:ilvl="5" w:tentative="0">
      <w:start w:val="1"/>
      <w:numFmt w:val="lowerRoman"/>
      <w:lvlText w:val="%6."/>
      <w:lvlJc w:val="right"/>
      <w:pPr>
        <w:ind w:left="3179" w:hanging="420"/>
      </w:pPr>
    </w:lvl>
    <w:lvl w:ilvl="6" w:tentative="0">
      <w:start w:val="1"/>
      <w:numFmt w:val="decimal"/>
      <w:lvlText w:val="%7."/>
      <w:lvlJc w:val="left"/>
      <w:pPr>
        <w:ind w:left="3599" w:hanging="420"/>
      </w:pPr>
    </w:lvl>
    <w:lvl w:ilvl="7" w:tentative="0">
      <w:start w:val="1"/>
      <w:numFmt w:val="lowerLetter"/>
      <w:lvlText w:val="%8)"/>
      <w:lvlJc w:val="left"/>
      <w:pPr>
        <w:ind w:left="4019" w:hanging="420"/>
      </w:pPr>
    </w:lvl>
    <w:lvl w:ilvl="8" w:tentative="0">
      <w:start w:val="1"/>
      <w:numFmt w:val="lowerRoman"/>
      <w:lvlText w:val="%9."/>
      <w:lvlJc w:val="right"/>
      <w:pPr>
        <w:ind w:left="44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2A41"/>
    <w:rsid w:val="0009545A"/>
    <w:rsid w:val="00117730"/>
    <w:rsid w:val="00194614"/>
    <w:rsid w:val="00206A5F"/>
    <w:rsid w:val="002A2B09"/>
    <w:rsid w:val="00306CB4"/>
    <w:rsid w:val="004D6258"/>
    <w:rsid w:val="005912E1"/>
    <w:rsid w:val="005A253C"/>
    <w:rsid w:val="00664501"/>
    <w:rsid w:val="00680B52"/>
    <w:rsid w:val="006C454F"/>
    <w:rsid w:val="00797F57"/>
    <w:rsid w:val="007C62FD"/>
    <w:rsid w:val="007D3EE7"/>
    <w:rsid w:val="008859FF"/>
    <w:rsid w:val="00A505F3"/>
    <w:rsid w:val="00A649F5"/>
    <w:rsid w:val="00B90802"/>
    <w:rsid w:val="00B96295"/>
    <w:rsid w:val="00BC7D19"/>
    <w:rsid w:val="00C552EC"/>
    <w:rsid w:val="00CE7B18"/>
    <w:rsid w:val="00D56D30"/>
    <w:rsid w:val="00DB052A"/>
    <w:rsid w:val="00EC06D5"/>
    <w:rsid w:val="00EC4DC0"/>
    <w:rsid w:val="00EC63B1"/>
    <w:rsid w:val="00F100B2"/>
    <w:rsid w:val="00FC502F"/>
    <w:rsid w:val="03E956D7"/>
    <w:rsid w:val="04CC08C2"/>
    <w:rsid w:val="06C3668B"/>
    <w:rsid w:val="0FE70120"/>
    <w:rsid w:val="36056727"/>
    <w:rsid w:val="3A346EA2"/>
    <w:rsid w:val="4D77040C"/>
    <w:rsid w:val="70703FB0"/>
    <w:rsid w:val="7E34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日期 Char"/>
    <w:basedOn w:val="9"/>
    <w:link w:val="2"/>
    <w:semiHidden/>
    <w:qFormat/>
    <w:uiPriority w:val="99"/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298</Words>
  <Characters>1701</Characters>
  <Lines>14</Lines>
  <Paragraphs>3</Paragraphs>
  <TotalTime>48</TotalTime>
  <ScaleCrop>false</ScaleCrop>
  <LinksUpToDate>false</LinksUpToDate>
  <CharactersWithSpaces>1996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2021-02-04T03:21:00Z</dcterms:created>
  <dc:creator>Administrator</dc:creator>
  <cp:lastModifiedBy>Administrator</cp:lastModifiedBy>
  <cp:lastPrinted>2021-01-06T09:02:00Z</cp:lastPrinted>
  <dcterms:modified xsi:type="dcterms:W3CDTF">2021-02-22T08:21:53Z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SaveFontToCloudKey">
    <vt:lpwstr>363207740_cloud</vt:lpwstr>
  </property>
</Properties>
</file>