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2025年部门预算信息公开目录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8"/>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8"/>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8"/>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28"/>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8"/>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8"/>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8"/>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28"/>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28"/>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8"/>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28"/>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28"/>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28"/>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28"/>
        <w:tabs>
          <w:tab w:val="right" w:leader="dot" w:pos="14562"/>
        </w:tabs>
        <w:rPr>
          <w:lang w:eastAsia="zh-CN"/>
        </w:rPr>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w:t>
      </w:r>
      <w:r>
        <w:rPr>
          <w:rFonts w:hint="eastAsia"/>
          <w:lang w:eastAsia="zh-CN"/>
        </w:rPr>
        <w:t>6</w:t>
      </w:r>
      <w:r>
        <w:fldChar w:fldCharType="end"/>
      </w:r>
      <w:r>
        <w:fldChar w:fldCharType="end"/>
      </w:r>
    </w:p>
    <w:p>
      <w:pPr>
        <w:pStyle w:val="28"/>
        <w:tabs>
          <w:tab w:val="right" w:leader="dot" w:pos="14562"/>
        </w:tabs>
      </w:pPr>
      <w:r>
        <w:fldChar w:fldCharType="begin"/>
      </w:r>
      <w:r>
        <w:instrText xml:space="preserve"> HYPERLINK \l "_Toc_3_3_0000000017" </w:instrText>
      </w:r>
      <w:r>
        <w:fldChar w:fldCharType="separate"/>
      </w:r>
      <w:r>
        <w:rPr>
          <w:rFonts w:hint="eastAsia"/>
          <w:lang w:eastAsia="zh-CN"/>
        </w:rPr>
        <w:t>六</w:t>
      </w:r>
      <w:r>
        <w:t>、</w:t>
      </w:r>
      <w:r>
        <w:rPr>
          <w:rFonts w:hint="eastAsia"/>
          <w:lang w:eastAsia="zh-CN"/>
        </w:rPr>
        <w:t>部门</w:t>
      </w:r>
      <w:r>
        <w:t>主管专项资金预算安排情况及绩效目标</w:t>
      </w:r>
      <w:r>
        <w:tab/>
      </w:r>
      <w:r>
        <w:rPr>
          <w:rFonts w:hint="eastAsia"/>
          <w:lang w:eastAsia="zh-CN"/>
        </w:rPr>
        <w:t>18</w:t>
      </w:r>
      <w:r>
        <w:rPr>
          <w:rFonts w:hint="eastAsia"/>
          <w:lang w:eastAsia="zh-CN"/>
        </w:rPr>
        <w:fldChar w:fldCharType="end"/>
      </w:r>
    </w:p>
    <w:p>
      <w:pPr>
        <w:pStyle w:val="28"/>
        <w:tabs>
          <w:tab w:val="right" w:leader="dot" w:pos="14562"/>
        </w:tabs>
      </w:pPr>
      <w:r>
        <w:fldChar w:fldCharType="begin"/>
      </w:r>
      <w:r>
        <w:instrText xml:space="preserve"> HYPERLINK \l "_Toc_3_3_0000000018" </w:instrText>
      </w:r>
      <w:r>
        <w:fldChar w:fldCharType="separate"/>
      </w:r>
      <w:r>
        <w:rPr>
          <w:rFonts w:hint="eastAsia"/>
          <w:lang w:eastAsia="zh-CN"/>
        </w:rPr>
        <w:t>七</w:t>
      </w:r>
      <w:r>
        <w:t>、</w:t>
      </w:r>
      <w:r>
        <w:rPr>
          <w:rFonts w:hint="eastAsia"/>
          <w:lang w:eastAsia="zh-CN"/>
        </w:rPr>
        <w:t>部门</w:t>
      </w:r>
      <w:r>
        <w:t>项目预算安排情况及绩效指标</w:t>
      </w:r>
      <w:r>
        <w:tab/>
      </w:r>
      <w:r>
        <w:fldChar w:fldCharType="begin"/>
      </w:r>
      <w:r>
        <w:instrText xml:space="preserve">PAGEREF _Toc_3_3_0000000018 \h</w:instrText>
      </w:r>
      <w:r>
        <w:fldChar w:fldCharType="separate"/>
      </w:r>
      <w:r>
        <w:t>32</w:t>
      </w:r>
      <w:r>
        <w:fldChar w:fldCharType="end"/>
      </w:r>
      <w:r>
        <w:fldChar w:fldCharType="end"/>
      </w:r>
    </w:p>
    <w:p>
      <w:pPr>
        <w:pStyle w:val="28"/>
        <w:tabs>
          <w:tab w:val="right" w:leader="dot" w:pos="14562"/>
        </w:tabs>
        <w:rPr>
          <w:lang w:eastAsia="zh-CN"/>
        </w:rPr>
      </w:pPr>
      <w:r>
        <w:fldChar w:fldCharType="begin"/>
      </w:r>
      <w:r>
        <w:instrText xml:space="preserve"> HYPERLINK \l "_Toc_3_3_0000000019" </w:instrText>
      </w:r>
      <w:r>
        <w:fldChar w:fldCharType="separate"/>
      </w:r>
      <w:r>
        <w:rPr>
          <w:rFonts w:hint="eastAsia"/>
          <w:lang w:eastAsia="zh-CN"/>
        </w:rPr>
        <w:t>八</w:t>
      </w:r>
      <w:r>
        <w:t>、名词解释</w:t>
      </w:r>
      <w:r>
        <w:tab/>
      </w:r>
      <w:r>
        <w:fldChar w:fldCharType="begin"/>
      </w:r>
      <w:r>
        <w:instrText xml:space="preserve">PAGEREF _Toc_3_3_0000000019 \h</w:instrText>
      </w:r>
      <w:r>
        <w:fldChar w:fldCharType="separate"/>
      </w:r>
      <w:r>
        <w:t>32</w:t>
      </w:r>
      <w:r>
        <w:fldChar w:fldCharType="end"/>
      </w:r>
      <w:r>
        <w:fldChar w:fldCharType="end"/>
      </w:r>
    </w:p>
    <w:p>
      <w:pPr>
        <w:pStyle w:val="28"/>
        <w:tabs>
          <w:tab w:val="right" w:leader="dot" w:pos="14562"/>
        </w:tabs>
      </w:pPr>
      <w:r>
        <w:fldChar w:fldCharType="begin"/>
      </w:r>
      <w:r>
        <w:instrText xml:space="preserve"> HYPERLINK \l "_Toc_3_3_0000000017" </w:instrText>
      </w:r>
      <w:r>
        <w:fldChar w:fldCharType="separate"/>
      </w:r>
      <w:r>
        <w:rPr>
          <w:rFonts w:hint="eastAsia"/>
          <w:lang w:eastAsia="zh-CN"/>
        </w:rPr>
        <w:t>八</w:t>
      </w:r>
      <w:r>
        <w:t>、政府采购预算情况</w:t>
      </w:r>
      <w:r>
        <w:tab/>
      </w:r>
      <w:r>
        <w:fldChar w:fldCharType="begin"/>
      </w:r>
      <w:r>
        <w:instrText xml:space="preserve">PAGEREF _Toc_3_3_0000000017 \h</w:instrText>
      </w:r>
      <w:r>
        <w:fldChar w:fldCharType="separate"/>
      </w:r>
      <w:r>
        <w:t>32</w:t>
      </w:r>
      <w:r>
        <w:fldChar w:fldCharType="end"/>
      </w:r>
      <w:r>
        <w:fldChar w:fldCharType="end"/>
      </w:r>
    </w:p>
    <w:p>
      <w:pPr>
        <w:pStyle w:val="28"/>
        <w:tabs>
          <w:tab w:val="right" w:leader="dot" w:pos="14562"/>
        </w:tabs>
      </w:pPr>
      <w:r>
        <w:fldChar w:fldCharType="begin"/>
      </w:r>
      <w:r>
        <w:instrText xml:space="preserve"> HYPERLINK \l "_Toc_3_3_0000000018" </w:instrText>
      </w:r>
      <w:r>
        <w:fldChar w:fldCharType="separate"/>
      </w:r>
      <w:r>
        <w:rPr>
          <w:rFonts w:hint="eastAsia"/>
          <w:lang w:eastAsia="zh-CN"/>
        </w:rPr>
        <w:t>九</w:t>
      </w:r>
      <w:r>
        <w:t>、国有资产信息</w:t>
      </w:r>
      <w:r>
        <w:tab/>
      </w:r>
      <w:r>
        <w:fldChar w:fldCharType="begin"/>
      </w:r>
      <w:r>
        <w:instrText xml:space="preserve">PAGEREF _Toc_3_3_0000000018 \h</w:instrText>
      </w:r>
      <w:r>
        <w:fldChar w:fldCharType="separate"/>
      </w:r>
      <w:r>
        <w:t>32</w:t>
      </w:r>
      <w:r>
        <w:fldChar w:fldCharType="end"/>
      </w:r>
      <w:r>
        <w:fldChar w:fldCharType="end"/>
      </w:r>
    </w:p>
    <w:p>
      <w:pPr>
        <w:pStyle w:val="28"/>
        <w:tabs>
          <w:tab w:val="right" w:leader="dot" w:pos="14562"/>
        </w:tabs>
      </w:pPr>
      <w:r>
        <w:fldChar w:fldCharType="begin"/>
      </w:r>
      <w:r>
        <w:instrText xml:space="preserve"> HYPERLINK \l "_Toc_3_3_0000000019" </w:instrText>
      </w:r>
      <w:r>
        <w:fldChar w:fldCharType="separate"/>
      </w:r>
      <w:r>
        <w:rPr>
          <w:rFonts w:hint="eastAsia"/>
          <w:lang w:eastAsia="zh-CN"/>
        </w:rPr>
        <w:t>十</w:t>
      </w:r>
      <w:r>
        <w:t>、名词解释</w:t>
      </w:r>
      <w:r>
        <w:tab/>
      </w:r>
      <w:r>
        <w:fldChar w:fldCharType="begin"/>
      </w:r>
      <w:r>
        <w:instrText xml:space="preserve">PAGEREF _Toc_3_3_0000000019 \h</w:instrText>
      </w:r>
      <w:r>
        <w:fldChar w:fldCharType="separate"/>
      </w:r>
      <w:r>
        <w:t>32</w:t>
      </w:r>
      <w:r>
        <w:fldChar w:fldCharType="end"/>
      </w:r>
      <w:r>
        <w:fldChar w:fldCharType="end"/>
      </w:r>
    </w:p>
    <w:p>
      <w:pPr>
        <w:pStyle w:val="28"/>
        <w:tabs>
          <w:tab w:val="right" w:leader="dot" w:pos="14562"/>
        </w:tabs>
      </w:pPr>
      <w:r>
        <w:fldChar w:fldCharType="begin"/>
      </w:r>
      <w:r>
        <w:instrText xml:space="preserve"> HYPERLINK \l "_Toc_3_3_0000000020" </w:instrText>
      </w:r>
      <w:r>
        <w:fldChar w:fldCharType="separate"/>
      </w:r>
      <w:r>
        <w:rPr>
          <w:rFonts w:hint="eastAsia"/>
          <w:lang w:eastAsia="zh-CN"/>
        </w:rPr>
        <w:t>十一</w:t>
      </w:r>
      <w:r>
        <w:t>、其他需要说明的事项</w:t>
      </w:r>
      <w:r>
        <w:tab/>
      </w:r>
      <w:r>
        <w:fldChar w:fldCharType="begin"/>
      </w:r>
      <w:r>
        <w:instrText xml:space="preserve">PAGEREF _Toc_3_3_0000000020 \h</w:instrText>
      </w:r>
      <w:r>
        <w:fldChar w:fldCharType="separate"/>
      </w:r>
      <w:r>
        <w:t>33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467承德市生态环境局丰宁满族自治县分局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2888.15</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3286.25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2888.15</w:t>
            </w:r>
          </w:p>
        </w:tc>
        <w:tc>
          <w:tcPr>
            <w:tcW w:w="4535" w:type="dxa"/>
            <w:vAlign w:val="center"/>
          </w:tcPr>
          <w:p>
            <w:pPr>
              <w:pStyle w:val="15"/>
            </w:pPr>
            <w:r>
              <w:t>本年支出合计</w:t>
            </w:r>
          </w:p>
        </w:tc>
        <w:tc>
          <w:tcPr>
            <w:tcW w:w="2126" w:type="dxa"/>
            <w:vAlign w:val="center"/>
          </w:tcPr>
          <w:p>
            <w:pPr>
              <w:pStyle w:val="16"/>
            </w:pPr>
            <w:r>
              <w:t>3286.25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398.10</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3286.25</w:t>
            </w:r>
          </w:p>
        </w:tc>
        <w:tc>
          <w:tcPr>
            <w:tcW w:w="4535" w:type="dxa"/>
            <w:vAlign w:val="center"/>
          </w:tcPr>
          <w:p>
            <w:pPr>
              <w:pStyle w:val="15"/>
            </w:pPr>
            <w:r>
              <w:t>支出总计</w:t>
            </w:r>
          </w:p>
        </w:tc>
        <w:tc>
          <w:tcPr>
            <w:tcW w:w="2126" w:type="dxa"/>
            <w:vAlign w:val="center"/>
          </w:tcPr>
          <w:p>
            <w:pPr>
              <w:pStyle w:val="16"/>
            </w:pPr>
            <w:r>
              <w:t>3286.25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467承德市生态环境局丰宁满族自治县分局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3286.25</w:t>
            </w:r>
          </w:p>
        </w:tc>
        <w:tc>
          <w:tcPr>
            <w:tcW w:w="1134" w:type="dxa"/>
            <w:vAlign w:val="center"/>
          </w:tcPr>
          <w:p>
            <w:pPr>
              <w:pStyle w:val="16"/>
            </w:pPr>
            <w:r>
              <w:t>2888.15</w:t>
            </w:r>
          </w:p>
        </w:tc>
        <w:tc>
          <w:tcPr>
            <w:tcW w:w="1134" w:type="dxa"/>
            <w:vAlign w:val="center"/>
          </w:tcPr>
          <w:p>
            <w:pPr>
              <w:pStyle w:val="16"/>
            </w:pPr>
            <w:r>
              <w:t>2888.15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398.10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3286.25</w:t>
            </w:r>
          </w:p>
        </w:tc>
        <w:tc>
          <w:tcPr>
            <w:tcW w:w="1134" w:type="dxa"/>
            <w:vAlign w:val="center"/>
          </w:tcPr>
          <w:p>
            <w:pPr>
              <w:pStyle w:val="12"/>
            </w:pPr>
            <w:r>
              <w:t>2888.15</w:t>
            </w:r>
          </w:p>
        </w:tc>
        <w:tc>
          <w:tcPr>
            <w:tcW w:w="1134" w:type="dxa"/>
            <w:vAlign w:val="center"/>
          </w:tcPr>
          <w:p>
            <w:pPr>
              <w:pStyle w:val="12"/>
            </w:pPr>
            <w:r>
              <w:t>2888.15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398.10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21101</w:t>
            </w:r>
          </w:p>
        </w:tc>
        <w:tc>
          <w:tcPr>
            <w:tcW w:w="1559" w:type="dxa"/>
            <w:vAlign w:val="center"/>
          </w:tcPr>
          <w:p>
            <w:pPr>
              <w:pStyle w:val="13"/>
            </w:pPr>
            <w:r>
              <w:t>环境保护管理事务</w:t>
            </w:r>
          </w:p>
        </w:tc>
        <w:tc>
          <w:tcPr>
            <w:tcW w:w="1134" w:type="dxa"/>
            <w:vAlign w:val="center"/>
          </w:tcPr>
          <w:p>
            <w:pPr>
              <w:pStyle w:val="12"/>
            </w:pPr>
            <w:r>
              <w:t>106.70</w:t>
            </w:r>
          </w:p>
        </w:tc>
        <w:tc>
          <w:tcPr>
            <w:tcW w:w="1134" w:type="dxa"/>
            <w:vAlign w:val="center"/>
          </w:tcPr>
          <w:p>
            <w:pPr>
              <w:pStyle w:val="12"/>
            </w:pPr>
            <w:r>
              <w:t>106.70</w:t>
            </w:r>
          </w:p>
        </w:tc>
        <w:tc>
          <w:tcPr>
            <w:tcW w:w="1134" w:type="dxa"/>
            <w:vAlign w:val="center"/>
          </w:tcPr>
          <w:p>
            <w:pPr>
              <w:pStyle w:val="12"/>
            </w:pPr>
            <w:r>
              <w:t>106.70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2110101</w:t>
            </w:r>
          </w:p>
        </w:tc>
        <w:tc>
          <w:tcPr>
            <w:tcW w:w="1559" w:type="dxa"/>
            <w:vAlign w:val="center"/>
          </w:tcPr>
          <w:p>
            <w:pPr>
              <w:pStyle w:val="13"/>
            </w:pPr>
            <w:r>
              <w:t>行政运行</w:t>
            </w:r>
          </w:p>
        </w:tc>
        <w:tc>
          <w:tcPr>
            <w:tcW w:w="1134" w:type="dxa"/>
            <w:vAlign w:val="center"/>
          </w:tcPr>
          <w:p>
            <w:pPr>
              <w:pStyle w:val="12"/>
            </w:pPr>
            <w:r>
              <w:t>106.70</w:t>
            </w:r>
          </w:p>
        </w:tc>
        <w:tc>
          <w:tcPr>
            <w:tcW w:w="1134" w:type="dxa"/>
            <w:vAlign w:val="center"/>
          </w:tcPr>
          <w:p>
            <w:pPr>
              <w:pStyle w:val="12"/>
            </w:pPr>
            <w:r>
              <w:t>106.70</w:t>
            </w:r>
          </w:p>
        </w:tc>
        <w:tc>
          <w:tcPr>
            <w:tcW w:w="1134" w:type="dxa"/>
            <w:vAlign w:val="center"/>
          </w:tcPr>
          <w:p>
            <w:pPr>
              <w:pStyle w:val="12"/>
            </w:pPr>
            <w:r>
              <w:t>106.70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21103</w:t>
            </w:r>
          </w:p>
        </w:tc>
        <w:tc>
          <w:tcPr>
            <w:tcW w:w="1559" w:type="dxa"/>
            <w:vAlign w:val="center"/>
          </w:tcPr>
          <w:p>
            <w:pPr>
              <w:pStyle w:val="13"/>
            </w:pPr>
            <w:r>
              <w:t>污染防治</w:t>
            </w:r>
          </w:p>
        </w:tc>
        <w:tc>
          <w:tcPr>
            <w:tcW w:w="1134" w:type="dxa"/>
            <w:vAlign w:val="center"/>
          </w:tcPr>
          <w:p>
            <w:pPr>
              <w:pStyle w:val="12"/>
            </w:pPr>
            <w:r>
              <w:t>3179.55</w:t>
            </w:r>
          </w:p>
        </w:tc>
        <w:tc>
          <w:tcPr>
            <w:tcW w:w="1134" w:type="dxa"/>
            <w:vAlign w:val="center"/>
          </w:tcPr>
          <w:p>
            <w:pPr>
              <w:pStyle w:val="12"/>
            </w:pPr>
            <w:r>
              <w:t>2781.45</w:t>
            </w:r>
          </w:p>
        </w:tc>
        <w:tc>
          <w:tcPr>
            <w:tcW w:w="1134" w:type="dxa"/>
            <w:vAlign w:val="center"/>
          </w:tcPr>
          <w:p>
            <w:pPr>
              <w:pStyle w:val="12"/>
            </w:pPr>
            <w:r>
              <w:t>2781.45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398.10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2110301</w:t>
            </w:r>
          </w:p>
        </w:tc>
        <w:tc>
          <w:tcPr>
            <w:tcW w:w="1559" w:type="dxa"/>
            <w:vAlign w:val="center"/>
          </w:tcPr>
          <w:p>
            <w:pPr>
              <w:pStyle w:val="13"/>
            </w:pPr>
            <w:r>
              <w:t>大气</w:t>
            </w:r>
          </w:p>
        </w:tc>
        <w:tc>
          <w:tcPr>
            <w:tcW w:w="1134" w:type="dxa"/>
            <w:vAlign w:val="center"/>
          </w:tcPr>
          <w:p>
            <w:pPr>
              <w:pStyle w:val="12"/>
            </w:pPr>
            <w:r>
              <w:t>836.45</w:t>
            </w:r>
          </w:p>
        </w:tc>
        <w:tc>
          <w:tcPr>
            <w:tcW w:w="1134" w:type="dxa"/>
            <w:vAlign w:val="center"/>
          </w:tcPr>
          <w:p>
            <w:pPr>
              <w:pStyle w:val="12"/>
            </w:pPr>
            <w:r>
              <w:t>836.45</w:t>
            </w:r>
          </w:p>
        </w:tc>
        <w:tc>
          <w:tcPr>
            <w:tcW w:w="1134" w:type="dxa"/>
            <w:vAlign w:val="center"/>
          </w:tcPr>
          <w:p>
            <w:pPr>
              <w:pStyle w:val="12"/>
            </w:pPr>
            <w:r>
              <w:t>836.45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2110302</w:t>
            </w:r>
          </w:p>
        </w:tc>
        <w:tc>
          <w:tcPr>
            <w:tcW w:w="1559" w:type="dxa"/>
            <w:vAlign w:val="center"/>
          </w:tcPr>
          <w:p>
            <w:pPr>
              <w:pStyle w:val="13"/>
            </w:pPr>
            <w:r>
              <w:t>水体</w:t>
            </w:r>
          </w:p>
        </w:tc>
        <w:tc>
          <w:tcPr>
            <w:tcW w:w="1134" w:type="dxa"/>
            <w:vAlign w:val="center"/>
          </w:tcPr>
          <w:p>
            <w:pPr>
              <w:pStyle w:val="12"/>
            </w:pPr>
            <w:r>
              <w:t>2343.10</w:t>
            </w:r>
          </w:p>
        </w:tc>
        <w:tc>
          <w:tcPr>
            <w:tcW w:w="1134" w:type="dxa"/>
            <w:vAlign w:val="center"/>
          </w:tcPr>
          <w:p>
            <w:pPr>
              <w:pStyle w:val="12"/>
            </w:pPr>
            <w:r>
              <w:t>1945.00</w:t>
            </w:r>
          </w:p>
        </w:tc>
        <w:tc>
          <w:tcPr>
            <w:tcW w:w="1134" w:type="dxa"/>
            <w:vAlign w:val="center"/>
          </w:tcPr>
          <w:p>
            <w:pPr>
              <w:pStyle w:val="12"/>
            </w:pPr>
            <w:r>
              <w:t>1945.00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398.10</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467承德市生态环境局丰宁满族自治县分局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3286.25</w:t>
            </w:r>
          </w:p>
        </w:tc>
        <w:tc>
          <w:tcPr>
            <w:tcW w:w="1361" w:type="dxa"/>
            <w:vAlign w:val="center"/>
          </w:tcPr>
          <w:p>
            <w:pPr>
              <w:pStyle w:val="16"/>
            </w:pPr>
          </w:p>
        </w:tc>
        <w:tc>
          <w:tcPr>
            <w:tcW w:w="1361" w:type="dxa"/>
            <w:vAlign w:val="center"/>
          </w:tcPr>
          <w:p>
            <w:pPr>
              <w:pStyle w:val="16"/>
            </w:pPr>
            <w:r>
              <w:t>3286.25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3286.25</w:t>
            </w:r>
          </w:p>
        </w:tc>
        <w:tc>
          <w:tcPr>
            <w:tcW w:w="1361" w:type="dxa"/>
            <w:vAlign w:val="center"/>
          </w:tcPr>
          <w:p>
            <w:pPr>
              <w:pStyle w:val="12"/>
            </w:pPr>
          </w:p>
        </w:tc>
        <w:tc>
          <w:tcPr>
            <w:tcW w:w="1361" w:type="dxa"/>
            <w:vAlign w:val="center"/>
          </w:tcPr>
          <w:p>
            <w:pPr>
              <w:pStyle w:val="12"/>
            </w:pPr>
            <w:r>
              <w:t>3286.25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21101</w:t>
            </w:r>
          </w:p>
        </w:tc>
        <w:tc>
          <w:tcPr>
            <w:tcW w:w="4535" w:type="dxa"/>
            <w:vAlign w:val="center"/>
          </w:tcPr>
          <w:p>
            <w:pPr>
              <w:pStyle w:val="13"/>
            </w:pPr>
            <w:r>
              <w:t>环境保护管理事务</w:t>
            </w:r>
          </w:p>
        </w:tc>
        <w:tc>
          <w:tcPr>
            <w:tcW w:w="1361" w:type="dxa"/>
            <w:vAlign w:val="center"/>
          </w:tcPr>
          <w:p>
            <w:pPr>
              <w:pStyle w:val="12"/>
            </w:pPr>
            <w:r>
              <w:t>106.70</w:t>
            </w:r>
          </w:p>
        </w:tc>
        <w:tc>
          <w:tcPr>
            <w:tcW w:w="1361" w:type="dxa"/>
            <w:vAlign w:val="center"/>
          </w:tcPr>
          <w:p>
            <w:pPr>
              <w:pStyle w:val="12"/>
            </w:pPr>
          </w:p>
        </w:tc>
        <w:tc>
          <w:tcPr>
            <w:tcW w:w="1361" w:type="dxa"/>
            <w:vAlign w:val="center"/>
          </w:tcPr>
          <w:p>
            <w:pPr>
              <w:pStyle w:val="12"/>
            </w:pPr>
            <w:r>
              <w:t>106.70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2110101</w:t>
            </w:r>
          </w:p>
        </w:tc>
        <w:tc>
          <w:tcPr>
            <w:tcW w:w="4535" w:type="dxa"/>
            <w:vAlign w:val="center"/>
          </w:tcPr>
          <w:p>
            <w:pPr>
              <w:pStyle w:val="13"/>
            </w:pPr>
            <w:r>
              <w:t>行政运行</w:t>
            </w:r>
          </w:p>
        </w:tc>
        <w:tc>
          <w:tcPr>
            <w:tcW w:w="1361" w:type="dxa"/>
            <w:vAlign w:val="center"/>
          </w:tcPr>
          <w:p>
            <w:pPr>
              <w:pStyle w:val="12"/>
            </w:pPr>
            <w:r>
              <w:t>106.70</w:t>
            </w:r>
          </w:p>
        </w:tc>
        <w:tc>
          <w:tcPr>
            <w:tcW w:w="1361" w:type="dxa"/>
            <w:vAlign w:val="center"/>
          </w:tcPr>
          <w:p>
            <w:pPr>
              <w:pStyle w:val="12"/>
            </w:pPr>
          </w:p>
        </w:tc>
        <w:tc>
          <w:tcPr>
            <w:tcW w:w="1361" w:type="dxa"/>
            <w:vAlign w:val="center"/>
          </w:tcPr>
          <w:p>
            <w:pPr>
              <w:pStyle w:val="12"/>
            </w:pPr>
            <w:r>
              <w:t>106.70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21103</w:t>
            </w:r>
          </w:p>
        </w:tc>
        <w:tc>
          <w:tcPr>
            <w:tcW w:w="4535" w:type="dxa"/>
            <w:vAlign w:val="center"/>
          </w:tcPr>
          <w:p>
            <w:pPr>
              <w:pStyle w:val="13"/>
            </w:pPr>
            <w:r>
              <w:t>污染防治</w:t>
            </w:r>
          </w:p>
        </w:tc>
        <w:tc>
          <w:tcPr>
            <w:tcW w:w="1361" w:type="dxa"/>
            <w:vAlign w:val="center"/>
          </w:tcPr>
          <w:p>
            <w:pPr>
              <w:pStyle w:val="12"/>
            </w:pPr>
            <w:r>
              <w:t>3179.55</w:t>
            </w:r>
          </w:p>
        </w:tc>
        <w:tc>
          <w:tcPr>
            <w:tcW w:w="1361" w:type="dxa"/>
            <w:vAlign w:val="center"/>
          </w:tcPr>
          <w:p>
            <w:pPr>
              <w:pStyle w:val="12"/>
            </w:pPr>
          </w:p>
        </w:tc>
        <w:tc>
          <w:tcPr>
            <w:tcW w:w="1361" w:type="dxa"/>
            <w:vAlign w:val="center"/>
          </w:tcPr>
          <w:p>
            <w:pPr>
              <w:pStyle w:val="12"/>
            </w:pPr>
            <w:r>
              <w:t>3179.55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2110301</w:t>
            </w:r>
          </w:p>
        </w:tc>
        <w:tc>
          <w:tcPr>
            <w:tcW w:w="4535" w:type="dxa"/>
            <w:vAlign w:val="center"/>
          </w:tcPr>
          <w:p>
            <w:pPr>
              <w:pStyle w:val="13"/>
            </w:pPr>
            <w:r>
              <w:t>大气</w:t>
            </w:r>
          </w:p>
        </w:tc>
        <w:tc>
          <w:tcPr>
            <w:tcW w:w="1361" w:type="dxa"/>
            <w:vAlign w:val="center"/>
          </w:tcPr>
          <w:p>
            <w:pPr>
              <w:pStyle w:val="12"/>
            </w:pPr>
            <w:r>
              <w:t>836.45</w:t>
            </w:r>
          </w:p>
        </w:tc>
        <w:tc>
          <w:tcPr>
            <w:tcW w:w="1361" w:type="dxa"/>
            <w:vAlign w:val="center"/>
          </w:tcPr>
          <w:p>
            <w:pPr>
              <w:pStyle w:val="12"/>
            </w:pPr>
          </w:p>
        </w:tc>
        <w:tc>
          <w:tcPr>
            <w:tcW w:w="1361" w:type="dxa"/>
            <w:vAlign w:val="center"/>
          </w:tcPr>
          <w:p>
            <w:pPr>
              <w:pStyle w:val="12"/>
            </w:pPr>
            <w:r>
              <w:t>836.45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2110302</w:t>
            </w:r>
          </w:p>
        </w:tc>
        <w:tc>
          <w:tcPr>
            <w:tcW w:w="4535" w:type="dxa"/>
            <w:vAlign w:val="center"/>
          </w:tcPr>
          <w:p>
            <w:pPr>
              <w:pStyle w:val="13"/>
            </w:pPr>
            <w:r>
              <w:t>水体</w:t>
            </w:r>
          </w:p>
        </w:tc>
        <w:tc>
          <w:tcPr>
            <w:tcW w:w="1361" w:type="dxa"/>
            <w:vAlign w:val="center"/>
          </w:tcPr>
          <w:p>
            <w:pPr>
              <w:pStyle w:val="12"/>
            </w:pPr>
            <w:r>
              <w:t>2343.10</w:t>
            </w:r>
          </w:p>
        </w:tc>
        <w:tc>
          <w:tcPr>
            <w:tcW w:w="1361" w:type="dxa"/>
            <w:vAlign w:val="center"/>
          </w:tcPr>
          <w:p>
            <w:pPr>
              <w:pStyle w:val="12"/>
            </w:pPr>
          </w:p>
        </w:tc>
        <w:tc>
          <w:tcPr>
            <w:tcW w:w="1361" w:type="dxa"/>
            <w:vAlign w:val="center"/>
          </w:tcPr>
          <w:p>
            <w:pPr>
              <w:pStyle w:val="12"/>
            </w:pPr>
            <w:r>
              <w:t>2343.10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467承德市生态环境局丰宁满族自治县分局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2888.15</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3286.25</w:t>
            </w:r>
          </w:p>
        </w:tc>
        <w:tc>
          <w:tcPr>
            <w:tcW w:w="1474" w:type="dxa"/>
            <w:vAlign w:val="center"/>
          </w:tcPr>
          <w:p>
            <w:pPr>
              <w:pStyle w:val="12"/>
            </w:pPr>
            <w:r>
              <w:t>3286.25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2888.15</w:t>
            </w:r>
          </w:p>
        </w:tc>
        <w:tc>
          <w:tcPr>
            <w:tcW w:w="3402" w:type="dxa"/>
            <w:vAlign w:val="center"/>
          </w:tcPr>
          <w:p>
            <w:pPr>
              <w:pStyle w:val="15"/>
            </w:pPr>
            <w:r>
              <w:t>本年支出合计</w:t>
            </w:r>
          </w:p>
        </w:tc>
        <w:tc>
          <w:tcPr>
            <w:tcW w:w="1474" w:type="dxa"/>
            <w:vAlign w:val="center"/>
          </w:tcPr>
          <w:p>
            <w:pPr>
              <w:pStyle w:val="16"/>
            </w:pPr>
            <w:r>
              <w:t>3286.25</w:t>
            </w:r>
          </w:p>
        </w:tc>
        <w:tc>
          <w:tcPr>
            <w:tcW w:w="1474" w:type="dxa"/>
            <w:vAlign w:val="center"/>
          </w:tcPr>
          <w:p>
            <w:pPr>
              <w:pStyle w:val="16"/>
            </w:pPr>
            <w:r>
              <w:t>3286.25</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398.10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398.10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3286.25</w:t>
            </w:r>
          </w:p>
        </w:tc>
        <w:tc>
          <w:tcPr>
            <w:tcW w:w="3402" w:type="dxa"/>
            <w:vAlign w:val="center"/>
          </w:tcPr>
          <w:p>
            <w:pPr>
              <w:pStyle w:val="15"/>
            </w:pPr>
            <w:r>
              <w:t>支出总计</w:t>
            </w:r>
          </w:p>
        </w:tc>
        <w:tc>
          <w:tcPr>
            <w:tcW w:w="1474" w:type="dxa"/>
            <w:vAlign w:val="center"/>
          </w:tcPr>
          <w:p>
            <w:pPr>
              <w:pStyle w:val="16"/>
            </w:pPr>
            <w:r>
              <w:t>3286.25</w:t>
            </w:r>
          </w:p>
        </w:tc>
        <w:tc>
          <w:tcPr>
            <w:tcW w:w="1474" w:type="dxa"/>
            <w:vAlign w:val="center"/>
          </w:tcPr>
          <w:p>
            <w:pPr>
              <w:pStyle w:val="16"/>
            </w:pPr>
            <w:r>
              <w:t>3286.25</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467承德市生态环境局丰宁满族自治县分局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3286.25</w:t>
            </w:r>
          </w:p>
        </w:tc>
        <w:tc>
          <w:tcPr>
            <w:tcW w:w="2551" w:type="dxa"/>
            <w:vAlign w:val="center"/>
          </w:tcPr>
          <w:p>
            <w:pPr>
              <w:pStyle w:val="16"/>
            </w:pPr>
          </w:p>
        </w:tc>
        <w:tc>
          <w:tcPr>
            <w:tcW w:w="2551" w:type="dxa"/>
            <w:vAlign w:val="center"/>
          </w:tcPr>
          <w:p>
            <w:pPr>
              <w:pStyle w:val="16"/>
            </w:pPr>
            <w:r>
              <w:t>3286.25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3286.25</w:t>
            </w:r>
          </w:p>
        </w:tc>
        <w:tc>
          <w:tcPr>
            <w:tcW w:w="2551" w:type="dxa"/>
            <w:vAlign w:val="center"/>
          </w:tcPr>
          <w:p>
            <w:pPr>
              <w:pStyle w:val="12"/>
            </w:pPr>
          </w:p>
        </w:tc>
        <w:tc>
          <w:tcPr>
            <w:tcW w:w="2551" w:type="dxa"/>
            <w:vAlign w:val="center"/>
          </w:tcPr>
          <w:p>
            <w:pPr>
              <w:pStyle w:val="12"/>
            </w:pPr>
            <w:r>
              <w:t>3286.25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21101</w:t>
            </w:r>
          </w:p>
        </w:tc>
        <w:tc>
          <w:tcPr>
            <w:tcW w:w="4535" w:type="dxa"/>
            <w:vAlign w:val="center"/>
          </w:tcPr>
          <w:p>
            <w:pPr>
              <w:pStyle w:val="13"/>
            </w:pPr>
            <w:r>
              <w:t>环境保护管理事务</w:t>
            </w:r>
          </w:p>
        </w:tc>
        <w:tc>
          <w:tcPr>
            <w:tcW w:w="2551" w:type="dxa"/>
            <w:vAlign w:val="center"/>
          </w:tcPr>
          <w:p>
            <w:pPr>
              <w:pStyle w:val="12"/>
            </w:pPr>
            <w:r>
              <w:t>106.70</w:t>
            </w:r>
          </w:p>
        </w:tc>
        <w:tc>
          <w:tcPr>
            <w:tcW w:w="2551" w:type="dxa"/>
            <w:vAlign w:val="center"/>
          </w:tcPr>
          <w:p>
            <w:pPr>
              <w:pStyle w:val="12"/>
            </w:pPr>
          </w:p>
        </w:tc>
        <w:tc>
          <w:tcPr>
            <w:tcW w:w="2551" w:type="dxa"/>
            <w:vAlign w:val="center"/>
          </w:tcPr>
          <w:p>
            <w:pPr>
              <w:pStyle w:val="12"/>
            </w:pPr>
            <w:r>
              <w:t>106.70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2110101</w:t>
            </w:r>
          </w:p>
        </w:tc>
        <w:tc>
          <w:tcPr>
            <w:tcW w:w="4535" w:type="dxa"/>
            <w:vAlign w:val="center"/>
          </w:tcPr>
          <w:p>
            <w:pPr>
              <w:pStyle w:val="13"/>
            </w:pPr>
            <w:r>
              <w:t>行政运行</w:t>
            </w:r>
          </w:p>
        </w:tc>
        <w:tc>
          <w:tcPr>
            <w:tcW w:w="2551" w:type="dxa"/>
            <w:vAlign w:val="center"/>
          </w:tcPr>
          <w:p>
            <w:pPr>
              <w:pStyle w:val="12"/>
            </w:pPr>
            <w:r>
              <w:t>106.70</w:t>
            </w:r>
          </w:p>
        </w:tc>
        <w:tc>
          <w:tcPr>
            <w:tcW w:w="2551" w:type="dxa"/>
            <w:vAlign w:val="center"/>
          </w:tcPr>
          <w:p>
            <w:pPr>
              <w:pStyle w:val="12"/>
            </w:pPr>
          </w:p>
        </w:tc>
        <w:tc>
          <w:tcPr>
            <w:tcW w:w="2551" w:type="dxa"/>
            <w:vAlign w:val="center"/>
          </w:tcPr>
          <w:p>
            <w:pPr>
              <w:pStyle w:val="12"/>
            </w:pPr>
            <w:r>
              <w:t>106.70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21103</w:t>
            </w:r>
          </w:p>
        </w:tc>
        <w:tc>
          <w:tcPr>
            <w:tcW w:w="4535" w:type="dxa"/>
            <w:vAlign w:val="center"/>
          </w:tcPr>
          <w:p>
            <w:pPr>
              <w:pStyle w:val="13"/>
            </w:pPr>
            <w:r>
              <w:t>污染防治</w:t>
            </w:r>
          </w:p>
        </w:tc>
        <w:tc>
          <w:tcPr>
            <w:tcW w:w="2551" w:type="dxa"/>
            <w:vAlign w:val="center"/>
          </w:tcPr>
          <w:p>
            <w:pPr>
              <w:pStyle w:val="12"/>
            </w:pPr>
            <w:r>
              <w:t>3179.55</w:t>
            </w:r>
          </w:p>
        </w:tc>
        <w:tc>
          <w:tcPr>
            <w:tcW w:w="2551" w:type="dxa"/>
            <w:vAlign w:val="center"/>
          </w:tcPr>
          <w:p>
            <w:pPr>
              <w:pStyle w:val="12"/>
            </w:pPr>
          </w:p>
        </w:tc>
        <w:tc>
          <w:tcPr>
            <w:tcW w:w="2551" w:type="dxa"/>
            <w:vAlign w:val="center"/>
          </w:tcPr>
          <w:p>
            <w:pPr>
              <w:pStyle w:val="12"/>
            </w:pPr>
            <w:r>
              <w:t>3179.55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2110301</w:t>
            </w:r>
          </w:p>
        </w:tc>
        <w:tc>
          <w:tcPr>
            <w:tcW w:w="4535" w:type="dxa"/>
            <w:vAlign w:val="center"/>
          </w:tcPr>
          <w:p>
            <w:pPr>
              <w:pStyle w:val="13"/>
            </w:pPr>
            <w:r>
              <w:t>大气</w:t>
            </w:r>
          </w:p>
        </w:tc>
        <w:tc>
          <w:tcPr>
            <w:tcW w:w="2551" w:type="dxa"/>
            <w:vAlign w:val="center"/>
          </w:tcPr>
          <w:p>
            <w:pPr>
              <w:pStyle w:val="12"/>
            </w:pPr>
            <w:r>
              <w:t>836.45</w:t>
            </w:r>
          </w:p>
        </w:tc>
        <w:tc>
          <w:tcPr>
            <w:tcW w:w="2551" w:type="dxa"/>
            <w:vAlign w:val="center"/>
          </w:tcPr>
          <w:p>
            <w:pPr>
              <w:pStyle w:val="12"/>
            </w:pPr>
          </w:p>
        </w:tc>
        <w:tc>
          <w:tcPr>
            <w:tcW w:w="2551" w:type="dxa"/>
            <w:vAlign w:val="center"/>
          </w:tcPr>
          <w:p>
            <w:pPr>
              <w:pStyle w:val="12"/>
            </w:pPr>
            <w:r>
              <w:t>836.45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2110302</w:t>
            </w:r>
          </w:p>
        </w:tc>
        <w:tc>
          <w:tcPr>
            <w:tcW w:w="4535" w:type="dxa"/>
            <w:vAlign w:val="center"/>
          </w:tcPr>
          <w:p>
            <w:pPr>
              <w:pStyle w:val="13"/>
            </w:pPr>
            <w:r>
              <w:t>水体</w:t>
            </w:r>
          </w:p>
        </w:tc>
        <w:tc>
          <w:tcPr>
            <w:tcW w:w="2551" w:type="dxa"/>
            <w:vAlign w:val="center"/>
          </w:tcPr>
          <w:p>
            <w:pPr>
              <w:pStyle w:val="12"/>
            </w:pPr>
            <w:r>
              <w:t>2343.10</w:t>
            </w:r>
          </w:p>
        </w:tc>
        <w:tc>
          <w:tcPr>
            <w:tcW w:w="2551" w:type="dxa"/>
            <w:vAlign w:val="center"/>
          </w:tcPr>
          <w:p>
            <w:pPr>
              <w:pStyle w:val="12"/>
            </w:pPr>
          </w:p>
        </w:tc>
        <w:tc>
          <w:tcPr>
            <w:tcW w:w="2551" w:type="dxa"/>
            <w:vAlign w:val="center"/>
          </w:tcPr>
          <w:p>
            <w:pPr>
              <w:pStyle w:val="12"/>
            </w:pPr>
            <w:r>
              <w:t>2343.10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467承德市生态环境局丰宁满族自治县分局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467承德市生态环境局丰宁满族自治县分局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467承德市生态环境局丰宁满族自治县分局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467承德市生态环境局丰宁满族自治县分局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pPr>
      <w:r>
        <w:rPr>
          <w:rFonts w:ascii="方正书宋_GBK" w:hAnsi="方正书宋_GBK" w:eastAsia="方正书宋_GBK" w:cs="方正书宋_GBK"/>
          <w:color w:val="000000"/>
          <w:sz w:val="21"/>
        </w:rPr>
        <w:t>注：无财政拨款“三公”经费支出预算，空表列示。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承德市生态环境局丰宁满族自治县分局2025年部门预算信息公开情况说明</w:t>
      </w:r>
    </w:p>
    <w:p>
      <w:pPr>
        <w:jc w:val="center"/>
      </w:pPr>
      <w:r>
        <w:rPr>
          <w:rFonts w:ascii="方正小标宋_GBK" w:hAnsi="方正小标宋_GBK" w:eastAsia="方正小标宋_GBK" w:cs="方正小标宋_GBK"/>
          <w:color w:val="000000"/>
          <w:sz w:val="44"/>
        </w:rPr>
        <w:t>承德市生态环境局丰宁满族自治县分局2025年部门预算信息公开情况说明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按照《中华人民共和国预算法》、《地方预决算公开操作规程》和《关于进一步推进预算公开工作的实施意见》规定，现将承德市生态环境局丰宁满族自治县分局2025年部门预算公开如下：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8"/>
      </w:pPr>
      <w:r>
        <w:t>部  门  职  责</w:t>
      </w:r>
    </w:p>
    <w:p>
      <w:pPr>
        <w:pStyle w:val="18"/>
      </w:pPr>
    </w:p>
    <w:p>
      <w:pPr>
        <w:pStyle w:val="18"/>
      </w:pPr>
      <w:r>
        <w:t>（一）贯彻执行国家、省、市环境保护的方针政策法律、法规；拟订全县环境保护规划，起草地方规范性文件草案和组织编制环境功能区划，组织拟订并监督实施重点区域、流域污染防治规划和饮用水水源地环境保护规划，参与制定全县主体。功能区划。</w:t>
      </w:r>
    </w:p>
    <w:p>
      <w:pPr>
        <w:pStyle w:val="18"/>
      </w:pPr>
      <w:r>
        <w:t>（二）负责重大环境问题的统筹协调和监督管理，牵头协调县内重大环境污染事故和生态破坏事件的调查处理，重大突发环境事件的应急、预警工作、协调解决有关跨区域环境污染纠纷，统筹协调全县重点流域，区域污染防治工作。</w:t>
      </w:r>
    </w:p>
    <w:p>
      <w:pPr>
        <w:pStyle w:val="18"/>
      </w:pPr>
      <w:r>
        <w:t>（三）负责落实全县污染物减排目标。组织落实污染物总量控制和排污许可证制度；督查、督办污染物减排任务完成情况；负责环境保护目标责任制和考核工作，负责向县政府提出初步考核结果。</w:t>
      </w:r>
    </w:p>
    <w:p>
      <w:pPr>
        <w:pStyle w:val="18"/>
      </w:pPr>
      <w:r>
        <w:t>（四）按规定权限审批、核准年度计划规模内国有资产投资项目，并负责“三同时”制度的落实；参与指导和推动全县循环经济与环保产业发展。</w:t>
      </w:r>
    </w:p>
    <w:p>
      <w:pPr>
        <w:pStyle w:val="18"/>
      </w:pPr>
      <w:r>
        <w:t>（五）承担从源头上预防、控制环境污染和环境破坏的责任。受县政府委托对重大经济和技术政策、发展规划以及重大经济开发计划组织进行环境影响评价，对涉及环境保护的地区规划规范性文件提出有关影响方面的意，按规定审批项目环境影响评价文件。</w:t>
      </w:r>
    </w:p>
    <w:p>
      <w:pPr>
        <w:pStyle w:val="18"/>
      </w:pPr>
      <w:r>
        <w:t>（六）负责环境污染，防治的监督管理。组织实施水体、大气、土壤、噪声、光、恶臭、固体废物、化学品、机动车等污染防治管理制度；组织指导城镇和农村的环境综合整治工作；组织滦、潮河跨界断面水质目标责任考核。</w:t>
      </w:r>
    </w:p>
    <w:p>
      <w:pPr>
        <w:pStyle w:val="18"/>
      </w:pPr>
      <w:r>
        <w:t>（七）协调、指导、监督生态保护工作。拟订生态保护规划，组织评估生态环境质量状况，监督对生态环境有影响的自然资源开发利用活动、重要生态环境建设和生态破坏恢复工程的指导、协调、监督自然保护区、风景名胜区、森林公园的环境保护工作；协调指导农村生态环境保护。</w:t>
      </w:r>
    </w:p>
    <w:p>
      <w:pPr>
        <w:pStyle w:val="18"/>
      </w:pPr>
      <w:r>
        <w:t>（八）负责核安全和核辐射安全的监督管理。参与核事故和核辐射环境事故应急处理工作；监督管理核设施、核技术应用、电磁辐射、伴有放射性资产资源开发利用中的污染防治。</w:t>
      </w:r>
    </w:p>
    <w:p>
      <w:pPr>
        <w:pStyle w:val="18"/>
      </w:pPr>
      <w:r>
        <w:t>（九）负责指导环境模范城、生态文明创建工作并提出工作的实施方案，并监督、检查各项任务的落实情况。</w:t>
      </w:r>
    </w:p>
    <w:p>
      <w:pPr>
        <w:pStyle w:val="18"/>
      </w:pPr>
      <w:r>
        <w:t>（十）组织、指导和协调环境保护宣传教育工作；开展生态文明建设和环境友好型社会建设有关宣传教育工作，推动社会公众和社会组织参与环境保护。</w:t>
      </w:r>
    </w:p>
    <w:p>
      <w:pPr>
        <w:pStyle w:val="18"/>
      </w:pPr>
      <w:r>
        <w:t>（十一）承办市局、县委、县政府交办的其他事项。主要职责</w:t>
      </w:r>
    </w:p>
    <w:p>
      <w:pPr>
        <w:pStyle w:val="18"/>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承德市生态环境局丰宁满族自治县分局本级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按照预算管理有关规定，目前部门预算的编制实行综合预算管理，即全部收入和支出都反映在预算中。承德市生态环境局丰宁满族自治县分局机关及所属事业单位的收支包含在部门预算中。</w:t>
      </w:r>
    </w:p>
    <w:p>
      <w:pPr>
        <w:pStyle w:val="19"/>
      </w:pPr>
      <w:r>
        <w:t>1、收入说明</w:t>
      </w:r>
    </w:p>
    <w:p>
      <w:pPr>
        <w:pStyle w:val="19"/>
      </w:pPr>
      <w:r>
        <w:t>反映本部门当年全部收入。2025年预算收入3286.25万元，其中：一般公共预算收入2888.15万元，基金预算收入0.00万元，国有资本经营预算收入0.00万元，财政专户核拨收入0.00万元，单位资金收入0.00万元，上年结转结余398.10万元。</w:t>
      </w:r>
    </w:p>
    <w:p>
      <w:pPr>
        <w:pStyle w:val="19"/>
      </w:pPr>
      <w:r>
        <w:t>2、支出说明</w:t>
      </w:r>
    </w:p>
    <w:p>
      <w:pPr>
        <w:pStyle w:val="19"/>
      </w:pPr>
      <w:r>
        <w:t>收支预算总表支出栏、基本支出表、项目支出表按经济分类和支出功能分类科目编制，反映承德市生态环境局丰宁满族自治县分局年度部门预算中支出预算的总体情况。2025年支出预算3286.25万元，其中基本支出0.00万元，包括人员经费0.00万元和日常公用经费0.00万元；项目支出3286.25万元，主要为劳务派遣人员工资及保险106.7万元；2025年国家重点生态功能区专项考核经费100万元；26个乡镇空气站运维费100万元；大气环保管家141.3万元；大气指挥调度平台10万元；党政机关电锅炉维修及运维费90万元；集中供热服务费及锅炉分期款300万元；绿水青山就是金山银山实践基地20万元；省控站点运维保障费15万元；省控站点建设及搬迁项目40.15万元；潮河流域综合治理编制费30万元；冀财资环【2023】118号丰宁满族自治县潮河源头生态廊道建设工程369万元；冀财资环【2023】118号丰宁满族自治县生活污水处理站监测项目29.1万元；冀财资环【2024】110号省级流域生态补偿资金（潮河流域）1915万元。</w:t>
      </w:r>
    </w:p>
    <w:p>
      <w:pPr>
        <w:pStyle w:val="19"/>
      </w:pPr>
      <w:r>
        <w:t>3、比上年增减情况</w:t>
      </w:r>
    </w:p>
    <w:p>
      <w:pPr>
        <w:pStyle w:val="19"/>
      </w:pPr>
      <w:r>
        <w:t>2025年预算收支安排3286.25万元，较2024年预算增加1187.85万元，其中：基本支出增加0.00万元，主要为主要增加了潮河流域生态补偿资金项目支出增加1187.85万元，主要为主要增加了潮河流域生态补偿资金</w:t>
      </w:r>
    </w:p>
    <w:p>
      <w:pPr>
        <w:spacing w:before="10" w:after="10" w:line="360" w:lineRule="auto"/>
        <w:ind w:firstLine="640"/>
        <w:outlineLvl w:val="2"/>
        <w:rPr>
          <w:rFonts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pPr>
        <w:pStyle w:val="2"/>
        <w:spacing w:before="143" w:line="336" w:lineRule="auto"/>
        <w:ind w:firstLine="560" w:firstLineChars="200"/>
        <w:rPr>
          <w:rFonts w:ascii="Times New Roman" w:hAnsi="Times New Roman" w:eastAsia="方正仿宋_GBK" w:cs="Times New Roman"/>
          <w:szCs w:val="24"/>
          <w:lang w:eastAsia="uk-UA"/>
        </w:rPr>
      </w:pPr>
      <w:r>
        <w:rPr>
          <w:rFonts w:hint="eastAsia" w:ascii="Times New Roman" w:hAnsi="Times New Roman" w:eastAsia="方正仿宋_GBK" w:cs="Times New Roman"/>
          <w:szCs w:val="24"/>
          <w:lang w:eastAsia="uk-UA"/>
        </w:rPr>
        <w:t>202</w:t>
      </w:r>
      <w:r>
        <w:rPr>
          <w:rFonts w:hint="eastAsia" w:cs="Times New Roman" w:asciiTheme="minorEastAsia" w:hAnsiTheme="minorEastAsia" w:eastAsiaTheme="minorEastAsia"/>
          <w:szCs w:val="24"/>
        </w:rPr>
        <w:t>5</w:t>
      </w:r>
      <w:r>
        <w:rPr>
          <w:rFonts w:hint="eastAsia" w:ascii="Times New Roman" w:hAnsi="Times New Roman" w:eastAsia="方正仿宋_GBK" w:cs="Times New Roman"/>
          <w:szCs w:val="24"/>
          <w:lang w:eastAsia="uk-UA"/>
        </w:rPr>
        <w:t>年，我单位机关运行经费共计安排</w:t>
      </w:r>
      <w:r>
        <w:rPr>
          <w:rFonts w:hint="eastAsia" w:cs="Times New Roman" w:asciiTheme="minorEastAsia" w:hAnsiTheme="minorEastAsia" w:eastAsiaTheme="minorEastAsia"/>
          <w:szCs w:val="24"/>
        </w:rPr>
        <w:t>0</w:t>
      </w:r>
      <w:r>
        <w:rPr>
          <w:rFonts w:hint="eastAsia" w:ascii="Times New Roman" w:hAnsi="Times New Roman" w:eastAsia="方正仿宋_GBK" w:cs="Times New Roman"/>
          <w:szCs w:val="24"/>
          <w:lang w:eastAsia="uk-UA"/>
        </w:rPr>
        <w:t>万元，主要用于办公费</w:t>
      </w:r>
      <w:r>
        <w:rPr>
          <w:rFonts w:hint="eastAsia" w:cs="Times New Roman" w:asciiTheme="minorEastAsia" w:hAnsiTheme="minorEastAsia" w:eastAsiaTheme="minorEastAsia"/>
          <w:szCs w:val="24"/>
        </w:rPr>
        <w:t>0</w:t>
      </w:r>
      <w:r>
        <w:rPr>
          <w:rFonts w:hint="eastAsia" w:ascii="Times New Roman" w:hAnsi="Times New Roman" w:eastAsia="方正仿宋_GBK" w:cs="Times New Roman"/>
          <w:szCs w:val="24"/>
          <w:lang w:eastAsia="uk-UA"/>
        </w:rPr>
        <w:t>万元、水费0.00万元、邮电费0万元、电费0.00万元、差旅费0万元、会议费0.00万元、公务接待费0.</w:t>
      </w:r>
      <w:r>
        <w:rPr>
          <w:rFonts w:hint="eastAsia" w:cs="Times New Roman" w:asciiTheme="minorEastAsia" w:hAnsiTheme="minorEastAsia" w:eastAsiaTheme="minorEastAsia"/>
          <w:szCs w:val="24"/>
        </w:rPr>
        <w:t>00</w:t>
      </w:r>
      <w:r>
        <w:rPr>
          <w:rFonts w:hint="eastAsia" w:ascii="Times New Roman" w:hAnsi="Times New Roman" w:eastAsia="方正仿宋_GBK" w:cs="Times New Roman"/>
          <w:szCs w:val="24"/>
          <w:lang w:eastAsia="uk-UA"/>
        </w:rPr>
        <w:t>万元、工会经费</w:t>
      </w:r>
      <w:r>
        <w:rPr>
          <w:rFonts w:hint="eastAsia" w:cs="Times New Roman" w:asciiTheme="minorEastAsia" w:hAnsiTheme="minorEastAsia" w:eastAsiaTheme="minorEastAsia"/>
          <w:szCs w:val="24"/>
        </w:rPr>
        <w:t>0.00</w:t>
      </w:r>
      <w:r>
        <w:rPr>
          <w:rFonts w:hint="eastAsia" w:ascii="Times New Roman" w:hAnsi="Times New Roman" w:eastAsia="方正仿宋_GBK" w:cs="Times New Roman"/>
          <w:szCs w:val="24"/>
          <w:lang w:eastAsia="uk-UA"/>
        </w:rPr>
        <w:t>万元、福利费</w:t>
      </w:r>
      <w:r>
        <w:rPr>
          <w:rFonts w:hint="eastAsia" w:cs="Times New Roman" w:asciiTheme="minorEastAsia" w:hAnsiTheme="minorEastAsia" w:eastAsiaTheme="minorEastAsia"/>
          <w:szCs w:val="24"/>
        </w:rPr>
        <w:t>0.00</w:t>
      </w:r>
      <w:r>
        <w:rPr>
          <w:rFonts w:hint="eastAsia" w:ascii="Times New Roman" w:hAnsi="Times New Roman" w:eastAsia="方正仿宋_GBK" w:cs="Times New Roman"/>
          <w:szCs w:val="24"/>
          <w:lang w:eastAsia="uk-UA"/>
        </w:rPr>
        <w:t>万元、公务用车运行维护费9.00万元、取暖费</w:t>
      </w:r>
      <w:r>
        <w:rPr>
          <w:rFonts w:hint="eastAsia" w:cs="Times New Roman" w:asciiTheme="minorEastAsia" w:hAnsiTheme="minorEastAsia" w:eastAsiaTheme="minorEastAsia"/>
          <w:szCs w:val="24"/>
        </w:rPr>
        <w:t>0.00</w:t>
      </w:r>
      <w:r>
        <w:rPr>
          <w:rFonts w:hint="eastAsia" w:ascii="Times New Roman" w:hAnsi="Times New Roman" w:eastAsia="方正仿宋_GBK" w:cs="Times New Roman"/>
          <w:szCs w:val="24"/>
          <w:lang w:eastAsia="uk-UA"/>
        </w:rPr>
        <w:t>万元、培训费0.00万元。</w:t>
      </w:r>
    </w:p>
    <w:p>
      <w:pPr>
        <w:spacing w:before="10" w:after="10" w:line="360" w:lineRule="auto"/>
        <w:ind w:left="480" w:hanging="480" w:hangingChars="200"/>
        <w:outlineLvl w:val="2"/>
        <w:rPr>
          <w:rFonts w:ascii="黑体" w:hAnsi="黑体" w:eastAsia="黑体" w:cs="黑体"/>
          <w:color w:val="000000"/>
          <w:sz w:val="32"/>
          <w:lang w:eastAsia="zh-CN"/>
        </w:rPr>
      </w:pPr>
      <w:bookmarkStart w:id="12" w:name="_Toc_3_3_0000000013"/>
      <w:r>
        <w:rPr>
          <w:rFonts w:hint="eastAsia" w:asciiTheme="minorEastAsia" w:hAnsiTheme="minorEastAsia" w:eastAsiaTheme="minorEastAsia"/>
          <w:lang w:eastAsia="zh-CN"/>
        </w:rPr>
        <w:t xml:space="preserve">     </w:t>
      </w:r>
      <w:r>
        <w:rPr>
          <w:rFonts w:ascii="黑体" w:hAnsi="黑体" w:eastAsia="黑体" w:cs="黑体"/>
          <w:color w:val="000000"/>
          <w:sz w:val="32"/>
        </w:rPr>
        <w:t>四、财政拨款“三公”经费预算情况及增减变化原因</w:t>
      </w:r>
      <w:bookmarkEnd w:id="12"/>
      <w:r>
        <w:rPr>
          <w:rFonts w:hint="eastAsia" w:ascii="黑体" w:hAnsi="黑体" w:eastAsia="黑体" w:cs="黑体"/>
          <w:color w:val="000000"/>
          <w:sz w:val="32"/>
          <w:lang w:eastAsia="zh-CN"/>
        </w:rPr>
        <w:t xml:space="preserve">   </w:t>
      </w:r>
    </w:p>
    <w:p>
      <w:pPr>
        <w:spacing w:before="10" w:after="10" w:line="360" w:lineRule="auto"/>
        <w:ind w:left="641" w:leftChars="267" w:firstLine="420" w:firstLineChars="150"/>
        <w:outlineLvl w:val="2"/>
        <w:rPr>
          <w:rFonts w:eastAsia="方正仿宋_GBK"/>
          <w:sz w:val="28"/>
        </w:rPr>
      </w:pPr>
      <w:r>
        <w:rPr>
          <w:rFonts w:hint="eastAsia" w:eastAsia="方正仿宋_GBK"/>
          <w:sz w:val="28"/>
        </w:rPr>
        <w:t>2025年，我单位财政拨款“三公”经费预算安排0万元，其中因公出国（境）费0.00万元；公务用车购置及运维费0万元（其中：公务用车购置费为0.00万元，公务用车运维费0.00万元)；公务接待费0.00万元。与2024年相比减少0.00万元，增减变化的主要原因是公务接待费不再县本级安排。</w:t>
      </w:r>
    </w:p>
    <w:p>
      <w:pPr>
        <w:pStyle w:val="24"/>
        <w:ind w:firstLine="0"/>
        <w:rPr>
          <w:rFonts w:eastAsiaTheme="minorEastAsia"/>
          <w:lang w:eastAsia="zh-CN"/>
        </w:rPr>
        <w:sectPr>
          <w:pgSz w:w="16840" w:h="11900" w:orient="landscape"/>
          <w:pgMar w:top="1361" w:right="1020" w:bottom="1361" w:left="1020" w:header="720" w:footer="720" w:gutter="0"/>
          <w:cols w:space="720" w:num="1"/>
        </w:sectPr>
      </w:pPr>
    </w:p>
    <w:p>
      <w:pPr>
        <w:spacing w:before="10" w:after="10" w:line="360" w:lineRule="auto"/>
        <w:ind w:firstLine="640" w:firstLineChars="200"/>
        <w:outlineLvl w:val="2"/>
        <w:rPr>
          <w:rFonts w:ascii="黑体" w:hAnsi="黑体" w:eastAsia="黑体" w:cs="黑体"/>
          <w:color w:val="000000"/>
          <w:sz w:val="32"/>
          <w:lang w:eastAsia="zh-CN"/>
        </w:rPr>
      </w:pPr>
      <w:bookmarkStart w:id="13" w:name="_Toc_3_3_0000000015"/>
      <w:r>
        <w:rPr>
          <w:rFonts w:hint="eastAsia" w:ascii="黑体" w:hAnsi="黑体" w:eastAsia="黑体" w:cs="黑体"/>
          <w:color w:val="000000"/>
          <w:sz w:val="32"/>
          <w:lang w:eastAsia="zh-CN"/>
        </w:rPr>
        <w:t>五、部门整体绩效目标</w:t>
      </w:r>
    </w:p>
    <w:p>
      <w:pPr>
        <w:ind w:firstLine="738"/>
        <w:rPr>
          <w:b/>
          <w:sz w:val="32"/>
        </w:rPr>
      </w:pPr>
      <w:r>
        <w:rPr>
          <w:rFonts w:ascii="新宋体" w:hAnsi="新宋体" w:eastAsia="新宋体"/>
          <w:b/>
          <w:sz w:val="30"/>
        </w:rPr>
        <w:t>承德市生态环境局丰宁满族自治县分局整体绩效目标：</w:t>
      </w:r>
    </w:p>
    <w:p>
      <w:pPr>
        <w:tabs>
          <w:tab w:val="left" w:pos="198"/>
        </w:tabs>
        <w:ind w:left="198" w:firstLine="640"/>
        <w:rPr>
          <w:sz w:val="32"/>
        </w:rPr>
      </w:pPr>
      <w:r>
        <w:rPr>
          <w:rFonts w:ascii="新宋体" w:hAnsi="新宋体" w:eastAsia="新宋体"/>
          <w:sz w:val="32"/>
        </w:rPr>
        <w:t>一、主要污染物排放总量削减。以工程措施为保障，确保化学需氧量（</w:t>
      </w:r>
      <w:r>
        <w:rPr>
          <w:sz w:val="32"/>
        </w:rPr>
        <w:t>COD</w:t>
      </w:r>
      <w:r>
        <w:rPr>
          <w:rFonts w:ascii="新宋体" w:hAnsi="新宋体" w:eastAsia="新宋体"/>
          <w:sz w:val="32"/>
        </w:rPr>
        <w:t>）、二氧化硫排放量较上年削减</w:t>
      </w:r>
      <w:r>
        <w:rPr>
          <w:sz w:val="32"/>
        </w:rPr>
        <w:t>3%</w:t>
      </w:r>
      <w:r>
        <w:rPr>
          <w:rFonts w:ascii="新宋体" w:hAnsi="新宋体" w:eastAsia="新宋体"/>
          <w:sz w:val="32"/>
        </w:rPr>
        <w:t>。工业固体废物综合利用率达到</w:t>
      </w:r>
      <w:r>
        <w:rPr>
          <w:sz w:val="32"/>
        </w:rPr>
        <w:t>55%</w:t>
      </w:r>
      <w:r>
        <w:rPr>
          <w:rFonts w:ascii="新宋体" w:hAnsi="新宋体" w:eastAsia="新宋体"/>
          <w:sz w:val="32"/>
        </w:rPr>
        <w:t>以上。工业用水重复利用率不低于</w:t>
      </w:r>
      <w:r>
        <w:rPr>
          <w:sz w:val="32"/>
        </w:rPr>
        <w:t>60%</w:t>
      </w:r>
      <w:r>
        <w:rPr>
          <w:rFonts w:ascii="新宋体" w:hAnsi="新宋体" w:eastAsia="新宋体"/>
          <w:sz w:val="32"/>
        </w:rPr>
        <w:t>。</w:t>
      </w:r>
    </w:p>
    <w:p>
      <w:pPr>
        <w:tabs>
          <w:tab w:val="left" w:pos="198"/>
        </w:tabs>
        <w:ind w:left="198" w:firstLine="640"/>
        <w:rPr>
          <w:sz w:val="32"/>
        </w:rPr>
      </w:pPr>
      <w:r>
        <w:rPr>
          <w:rFonts w:ascii="新宋体" w:hAnsi="新宋体" w:eastAsia="新宋体"/>
          <w:sz w:val="32"/>
        </w:rPr>
        <w:t>二、城镇环境空气质量改善。认真落实城市环境建设</w:t>
      </w:r>
      <w:r>
        <w:rPr>
          <w:sz w:val="32"/>
        </w:rPr>
        <w:t>“</w:t>
      </w:r>
      <w:r>
        <w:rPr>
          <w:rFonts w:ascii="新宋体" w:hAnsi="新宋体" w:eastAsia="新宋体"/>
          <w:sz w:val="32"/>
        </w:rPr>
        <w:t>十六字</w:t>
      </w:r>
      <w:r>
        <w:rPr>
          <w:sz w:val="32"/>
        </w:rPr>
        <w:t>”</w:t>
      </w:r>
      <w:r>
        <w:rPr>
          <w:rFonts w:ascii="新宋体" w:hAnsi="新宋体" w:eastAsia="新宋体"/>
          <w:sz w:val="32"/>
        </w:rPr>
        <w:t>方针，进一步改善城镇环境空气质量状况。</w:t>
      </w:r>
    </w:p>
    <w:p>
      <w:pPr>
        <w:tabs>
          <w:tab w:val="left" w:pos="198"/>
        </w:tabs>
        <w:ind w:left="198" w:firstLine="640"/>
        <w:rPr>
          <w:sz w:val="32"/>
        </w:rPr>
      </w:pPr>
      <w:r>
        <w:rPr>
          <w:rFonts w:ascii="新宋体" w:hAnsi="新宋体" w:eastAsia="新宋体"/>
          <w:sz w:val="32"/>
        </w:rPr>
        <w:t>三、水环境质量改善。集中饮用水源地水质达标率</w:t>
      </w:r>
      <w:r>
        <w:rPr>
          <w:sz w:val="32"/>
        </w:rPr>
        <w:t>100%</w:t>
      </w:r>
      <w:r>
        <w:rPr>
          <w:rFonts w:ascii="新宋体" w:hAnsi="新宋体" w:eastAsia="新宋体"/>
          <w:sz w:val="32"/>
        </w:rPr>
        <w:t>。潮河丰宁上游断面、天桥断面达到地表水功能区划要求。</w:t>
      </w:r>
    </w:p>
    <w:p>
      <w:pPr>
        <w:tabs>
          <w:tab w:val="left" w:pos="198"/>
        </w:tabs>
        <w:ind w:left="198" w:firstLine="640"/>
        <w:rPr>
          <w:sz w:val="32"/>
        </w:rPr>
      </w:pPr>
      <w:r>
        <w:rPr>
          <w:rFonts w:ascii="新宋体" w:hAnsi="新宋体" w:eastAsia="新宋体"/>
          <w:sz w:val="32"/>
        </w:rPr>
        <w:t>四、加强城镇环境基础设施建设。按规划进度完成《河北省环境保护</w:t>
      </w:r>
      <w:r>
        <w:rPr>
          <w:sz w:val="32"/>
        </w:rPr>
        <w:t>“</w:t>
      </w:r>
      <w:r>
        <w:rPr>
          <w:rFonts w:ascii="新宋体" w:hAnsi="新宋体" w:eastAsia="新宋体"/>
          <w:sz w:val="32"/>
        </w:rPr>
        <w:t>十一五</w:t>
      </w:r>
      <w:r>
        <w:rPr>
          <w:sz w:val="32"/>
        </w:rPr>
        <w:t>”</w:t>
      </w:r>
      <w:r>
        <w:rPr>
          <w:rFonts w:ascii="新宋体" w:hAnsi="新宋体" w:eastAsia="新宋体"/>
          <w:sz w:val="32"/>
        </w:rPr>
        <w:t>规划》及《承德市环境保护</w:t>
      </w:r>
      <w:r>
        <w:rPr>
          <w:sz w:val="32"/>
        </w:rPr>
        <w:t>“</w:t>
      </w:r>
      <w:r>
        <w:rPr>
          <w:rFonts w:ascii="新宋体" w:hAnsi="新宋体" w:eastAsia="新宋体"/>
          <w:sz w:val="32"/>
        </w:rPr>
        <w:t>十二五</w:t>
      </w:r>
      <w:r>
        <w:rPr>
          <w:sz w:val="32"/>
        </w:rPr>
        <w:t>”</w:t>
      </w:r>
      <w:r>
        <w:rPr>
          <w:rFonts w:ascii="新宋体" w:hAnsi="新宋体" w:eastAsia="新宋体"/>
          <w:sz w:val="32"/>
        </w:rPr>
        <w:t>规划》中的辖区工程项目。城镇集中供热率达到</w:t>
      </w:r>
      <w:r>
        <w:rPr>
          <w:sz w:val="32"/>
        </w:rPr>
        <w:t>40%</w:t>
      </w:r>
      <w:r>
        <w:rPr>
          <w:rFonts w:ascii="新宋体" w:hAnsi="新宋体" w:eastAsia="新宋体"/>
          <w:sz w:val="32"/>
        </w:rPr>
        <w:t>。</w:t>
      </w:r>
    </w:p>
    <w:p>
      <w:pPr>
        <w:tabs>
          <w:tab w:val="left" w:pos="198"/>
        </w:tabs>
        <w:ind w:left="198" w:firstLine="640"/>
        <w:rPr>
          <w:sz w:val="32"/>
        </w:rPr>
      </w:pPr>
      <w:r>
        <w:rPr>
          <w:rFonts w:ascii="新宋体" w:hAnsi="新宋体" w:eastAsia="新宋体"/>
          <w:sz w:val="32"/>
        </w:rPr>
        <w:t>五、严格执行环境影响评价制度。认真落实环境影响评价和</w:t>
      </w:r>
      <w:r>
        <w:rPr>
          <w:sz w:val="32"/>
        </w:rPr>
        <w:t>“</w:t>
      </w:r>
      <w:r>
        <w:rPr>
          <w:rFonts w:ascii="新宋体" w:hAnsi="新宋体" w:eastAsia="新宋体"/>
          <w:sz w:val="32"/>
        </w:rPr>
        <w:t>三同时</w:t>
      </w:r>
      <w:r>
        <w:rPr>
          <w:sz w:val="32"/>
        </w:rPr>
        <w:t>”</w:t>
      </w:r>
      <w:r>
        <w:rPr>
          <w:rFonts w:ascii="新宋体" w:hAnsi="新宋体" w:eastAsia="新宋体"/>
          <w:sz w:val="32"/>
        </w:rPr>
        <w:t>制度。建设项目环保审批把关率</w:t>
      </w:r>
      <w:r>
        <w:rPr>
          <w:sz w:val="32"/>
        </w:rPr>
        <w:t>100%</w:t>
      </w:r>
      <w:r>
        <w:rPr>
          <w:rFonts w:ascii="新宋体" w:hAnsi="新宋体" w:eastAsia="新宋体"/>
          <w:sz w:val="32"/>
        </w:rPr>
        <w:t>，</w:t>
      </w:r>
      <w:r>
        <w:rPr>
          <w:sz w:val="32"/>
        </w:rPr>
        <w:t>“</w:t>
      </w:r>
      <w:r>
        <w:rPr>
          <w:rFonts w:ascii="新宋体" w:hAnsi="新宋体" w:eastAsia="新宋体"/>
          <w:sz w:val="32"/>
        </w:rPr>
        <w:t>三同时</w:t>
      </w:r>
      <w:r>
        <w:rPr>
          <w:sz w:val="32"/>
        </w:rPr>
        <w:t>”</w:t>
      </w:r>
      <w:r>
        <w:rPr>
          <w:rFonts w:ascii="新宋体" w:hAnsi="新宋体" w:eastAsia="新宋体"/>
          <w:sz w:val="32"/>
        </w:rPr>
        <w:t>执行率达到</w:t>
      </w:r>
      <w:r>
        <w:rPr>
          <w:sz w:val="32"/>
        </w:rPr>
        <w:t>100%</w:t>
      </w:r>
      <w:r>
        <w:rPr>
          <w:rFonts w:ascii="新宋体" w:hAnsi="新宋体" w:eastAsia="新宋体"/>
          <w:sz w:val="32"/>
        </w:rPr>
        <w:t>。</w:t>
      </w:r>
    </w:p>
    <w:p>
      <w:pPr>
        <w:tabs>
          <w:tab w:val="left" w:pos="198"/>
        </w:tabs>
        <w:ind w:left="198" w:firstLine="640"/>
        <w:rPr>
          <w:sz w:val="32"/>
        </w:rPr>
      </w:pPr>
      <w:r>
        <w:rPr>
          <w:rFonts w:ascii="新宋体" w:hAnsi="新宋体" w:eastAsia="新宋体"/>
          <w:sz w:val="32"/>
        </w:rPr>
        <w:t>六、加强污染防治。强化排污许可证管理，以排污许可证落实总量控制指标，切实发挥排污许可证在环境管理和污染控制上的重要作用，排污许可证发（换）证率达到</w:t>
      </w:r>
      <w:r>
        <w:rPr>
          <w:sz w:val="32"/>
        </w:rPr>
        <w:t>90%</w:t>
      </w:r>
      <w:r>
        <w:rPr>
          <w:rFonts w:ascii="新宋体" w:hAnsi="新宋体" w:eastAsia="新宋体"/>
          <w:sz w:val="32"/>
        </w:rPr>
        <w:t>以上。</w:t>
      </w:r>
    </w:p>
    <w:p>
      <w:pPr>
        <w:tabs>
          <w:tab w:val="left" w:pos="198"/>
        </w:tabs>
        <w:ind w:left="198" w:firstLine="640"/>
        <w:rPr>
          <w:sz w:val="32"/>
        </w:rPr>
      </w:pPr>
      <w:r>
        <w:rPr>
          <w:rFonts w:ascii="新宋体" w:hAnsi="新宋体" w:eastAsia="新宋体"/>
          <w:sz w:val="32"/>
        </w:rPr>
        <w:t>七、解决环境突出问题。严格环境执法，继续开展环保专项行动，及时查处违法排污行为和群众反映强烈的突出环境问题</w:t>
      </w:r>
      <w:r>
        <w:rPr>
          <w:sz w:val="32"/>
        </w:rPr>
        <w:t>.</w:t>
      </w:r>
    </w:p>
    <w:p>
      <w:pPr>
        <w:pStyle w:val="32"/>
        <w:rPr>
          <w:sz w:val="32"/>
          <w:lang w:eastAsia="zh-CN"/>
        </w:rPr>
      </w:pPr>
    </w:p>
    <w:p>
      <w:pPr>
        <w:spacing w:before="10" w:after="10" w:line="360" w:lineRule="auto"/>
        <w:ind w:firstLine="640" w:firstLineChars="200"/>
        <w:outlineLvl w:val="2"/>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六</w:t>
      </w:r>
      <w:r>
        <w:rPr>
          <w:rFonts w:ascii="黑体" w:hAnsi="黑体" w:eastAsia="黑体" w:cs="黑体"/>
          <w:color w:val="000000"/>
          <w:sz w:val="32"/>
        </w:rPr>
        <w:t>、部门主管专项资金预算安排情况及绩效目标</w:t>
      </w:r>
      <w:bookmarkEnd w:id="13"/>
    </w:p>
    <w:p>
      <w:pPr>
        <w:ind w:firstLine="560"/>
      </w:pPr>
      <w:r>
        <w:rPr>
          <w:rFonts w:ascii="方正仿宋_GBK" w:hAnsi="方正仿宋_GBK" w:eastAsia="方正仿宋_GBK" w:cs="方正仿宋_GBK"/>
          <w:color w:val="000000"/>
          <w:sz w:val="28"/>
        </w:rPr>
        <w:t>1、2025年劳务派遣人员工资及保险绩效目标表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13082625P00000410002Q</w:t>
            </w:r>
          </w:p>
        </w:tc>
        <w:tc>
          <w:tcPr>
            <w:tcW w:w="2835" w:type="dxa"/>
            <w:vAlign w:val="center"/>
          </w:tcPr>
          <w:p>
            <w:pPr>
              <w:pStyle w:val="11"/>
            </w:pPr>
            <w:r>
              <w:t>项目名称</w:t>
            </w:r>
          </w:p>
        </w:tc>
        <w:tc>
          <w:tcPr>
            <w:tcW w:w="6095" w:type="dxa"/>
            <w:gridSpan w:val="3"/>
            <w:vAlign w:val="center"/>
          </w:tcPr>
          <w:p>
            <w:pPr>
              <w:pStyle w:val="13"/>
            </w:pPr>
            <w:r>
              <w:t>2025年劳务派遣人员工资及保险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106.70</w:t>
            </w:r>
          </w:p>
        </w:tc>
        <w:tc>
          <w:tcPr>
            <w:tcW w:w="2835" w:type="dxa"/>
            <w:vAlign w:val="center"/>
          </w:tcPr>
          <w:p>
            <w:pPr>
              <w:pStyle w:val="11"/>
            </w:pPr>
            <w:r>
              <w:t>其中：财政    资金</w:t>
            </w:r>
          </w:p>
        </w:tc>
        <w:tc>
          <w:tcPr>
            <w:tcW w:w="2551" w:type="dxa"/>
            <w:vAlign w:val="center"/>
          </w:tcPr>
          <w:p>
            <w:pPr>
              <w:pStyle w:val="13"/>
            </w:pPr>
            <w:r>
              <w:t>106.70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2025年劳务派遣人员工资及保险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1.按时发放2025年劳务派遣人员工资及保险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项目数量</w:t>
            </w:r>
          </w:p>
        </w:tc>
        <w:tc>
          <w:tcPr>
            <w:tcW w:w="2268" w:type="dxa"/>
            <w:vAlign w:val="center"/>
          </w:tcPr>
          <w:p>
            <w:pPr>
              <w:pStyle w:val="13"/>
            </w:pPr>
            <w:r>
              <w:t>1个</w:t>
            </w:r>
          </w:p>
        </w:tc>
        <w:tc>
          <w:tcPr>
            <w:tcW w:w="1276" w:type="dxa"/>
            <w:vAlign w:val="center"/>
          </w:tcPr>
          <w:p>
            <w:pPr>
              <w:pStyle w:val="13"/>
            </w:pPr>
            <w:r>
              <w:t>依结果评定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100%</w:t>
            </w:r>
          </w:p>
        </w:tc>
        <w:tc>
          <w:tcPr>
            <w:tcW w:w="1276" w:type="dxa"/>
            <w:vAlign w:val="center"/>
          </w:tcPr>
          <w:p>
            <w:pPr>
              <w:pStyle w:val="13"/>
            </w:pPr>
            <w:r>
              <w:t>依结果评定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100%</w:t>
            </w:r>
          </w:p>
        </w:tc>
        <w:tc>
          <w:tcPr>
            <w:tcW w:w="1276" w:type="dxa"/>
            <w:vAlign w:val="center"/>
          </w:tcPr>
          <w:p>
            <w:pPr>
              <w:pStyle w:val="13"/>
            </w:pPr>
            <w:r>
              <w:t>依结果评定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100%</w:t>
            </w:r>
          </w:p>
        </w:tc>
        <w:tc>
          <w:tcPr>
            <w:tcW w:w="1276" w:type="dxa"/>
            <w:vAlign w:val="center"/>
          </w:tcPr>
          <w:p>
            <w:pPr>
              <w:pStyle w:val="13"/>
            </w:pPr>
            <w:r>
              <w:t>依结果评定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综合利用率</w:t>
            </w:r>
          </w:p>
        </w:tc>
        <w:tc>
          <w:tcPr>
            <w:tcW w:w="5386" w:type="dxa"/>
            <w:vAlign w:val="center"/>
          </w:tcPr>
          <w:p>
            <w:pPr>
              <w:pStyle w:val="13"/>
            </w:pPr>
            <w:r>
              <w:t>综合利用率</w:t>
            </w:r>
          </w:p>
        </w:tc>
        <w:tc>
          <w:tcPr>
            <w:tcW w:w="2268" w:type="dxa"/>
            <w:vAlign w:val="center"/>
          </w:tcPr>
          <w:p>
            <w:pPr>
              <w:pStyle w:val="13"/>
            </w:pPr>
            <w:r>
              <w:t>≥95%</w:t>
            </w:r>
          </w:p>
        </w:tc>
        <w:tc>
          <w:tcPr>
            <w:tcW w:w="1276" w:type="dxa"/>
            <w:vAlign w:val="center"/>
          </w:tcPr>
          <w:p>
            <w:pPr>
              <w:pStyle w:val="13"/>
            </w:pPr>
            <w:r>
              <w:t>依结果评定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社会影响度</w:t>
            </w:r>
          </w:p>
        </w:tc>
        <w:tc>
          <w:tcPr>
            <w:tcW w:w="5386" w:type="dxa"/>
            <w:vAlign w:val="center"/>
          </w:tcPr>
          <w:p>
            <w:pPr>
              <w:pStyle w:val="13"/>
            </w:pPr>
            <w:r>
              <w:t>社会影响度</w:t>
            </w:r>
          </w:p>
        </w:tc>
        <w:tc>
          <w:tcPr>
            <w:tcW w:w="2268" w:type="dxa"/>
            <w:vAlign w:val="center"/>
          </w:tcPr>
          <w:p>
            <w:pPr>
              <w:pStyle w:val="13"/>
            </w:pPr>
            <w:r>
              <w:t>≥95%</w:t>
            </w:r>
          </w:p>
        </w:tc>
        <w:tc>
          <w:tcPr>
            <w:tcW w:w="1276" w:type="dxa"/>
            <w:vAlign w:val="center"/>
          </w:tcPr>
          <w:p>
            <w:pPr>
              <w:pStyle w:val="13"/>
            </w:pPr>
            <w:r>
              <w:t>依结果评定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≥98%</w:t>
            </w:r>
          </w:p>
        </w:tc>
        <w:tc>
          <w:tcPr>
            <w:tcW w:w="1276" w:type="dxa"/>
            <w:vAlign w:val="center"/>
          </w:tcPr>
          <w:p>
            <w:pPr>
              <w:pStyle w:val="13"/>
            </w:pPr>
            <w:r>
              <w:t>依结果评定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任务计划完成率</w:t>
            </w:r>
          </w:p>
        </w:tc>
        <w:tc>
          <w:tcPr>
            <w:tcW w:w="5386" w:type="dxa"/>
            <w:vAlign w:val="center"/>
          </w:tcPr>
          <w:p>
            <w:pPr>
              <w:pStyle w:val="13"/>
            </w:pPr>
            <w:r>
              <w:t>任务计划完成率</w:t>
            </w:r>
          </w:p>
        </w:tc>
        <w:tc>
          <w:tcPr>
            <w:tcW w:w="2268" w:type="dxa"/>
            <w:vAlign w:val="center"/>
          </w:tcPr>
          <w:p>
            <w:pPr>
              <w:pStyle w:val="13"/>
            </w:pPr>
            <w:r>
              <w:t>≥97%</w:t>
            </w:r>
          </w:p>
        </w:tc>
        <w:tc>
          <w:tcPr>
            <w:tcW w:w="1276" w:type="dxa"/>
            <w:vAlign w:val="center"/>
          </w:tcPr>
          <w:p>
            <w:pPr>
              <w:pStyle w:val="13"/>
            </w:pPr>
            <w:r>
              <w:t>依结果评定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w:t>
            </w:r>
          </w:p>
        </w:tc>
        <w:tc>
          <w:tcPr>
            <w:tcW w:w="1276" w:type="dxa"/>
            <w:vAlign w:val="center"/>
          </w:tcPr>
          <w:p>
            <w:pPr>
              <w:pStyle w:val="13"/>
            </w:pPr>
            <w:r>
              <w:t>依结果评定</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2、2025年国家重点生态功能区专项考核经费绩效目标表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13082625P00ATLC10003D</w:t>
            </w:r>
          </w:p>
        </w:tc>
        <w:tc>
          <w:tcPr>
            <w:tcW w:w="2835" w:type="dxa"/>
            <w:vAlign w:val="center"/>
          </w:tcPr>
          <w:p>
            <w:pPr>
              <w:pStyle w:val="11"/>
            </w:pPr>
            <w:r>
              <w:t>项目名称</w:t>
            </w:r>
          </w:p>
        </w:tc>
        <w:tc>
          <w:tcPr>
            <w:tcW w:w="6095" w:type="dxa"/>
            <w:gridSpan w:val="3"/>
            <w:vAlign w:val="center"/>
          </w:tcPr>
          <w:p>
            <w:pPr>
              <w:pStyle w:val="13"/>
            </w:pPr>
            <w:r>
              <w:t>2025年国家重点生态功能区专项考核经费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增加转移支付资金拨付数额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1.增加转移支付资金拨付数额</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项目数量</w:t>
            </w:r>
          </w:p>
        </w:tc>
        <w:tc>
          <w:tcPr>
            <w:tcW w:w="2268" w:type="dxa"/>
            <w:vAlign w:val="center"/>
          </w:tcPr>
          <w:p>
            <w:pPr>
              <w:pStyle w:val="13"/>
            </w:pPr>
            <w:r>
              <w:t>1个</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评审通过率</w:t>
            </w:r>
          </w:p>
        </w:tc>
        <w:tc>
          <w:tcPr>
            <w:tcW w:w="5386" w:type="dxa"/>
            <w:vAlign w:val="center"/>
          </w:tcPr>
          <w:p>
            <w:pPr>
              <w:pStyle w:val="13"/>
            </w:pPr>
            <w:r>
              <w:t>评审通过率</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拨款执行率（%）</w:t>
            </w:r>
          </w:p>
        </w:tc>
        <w:tc>
          <w:tcPr>
            <w:tcW w:w="5386" w:type="dxa"/>
            <w:vAlign w:val="center"/>
          </w:tcPr>
          <w:p>
            <w:pPr>
              <w:pStyle w:val="13"/>
            </w:pPr>
            <w:r>
              <w:t>拨款执行率（%）</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≥96%</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综合利用率</w:t>
            </w:r>
          </w:p>
        </w:tc>
        <w:tc>
          <w:tcPr>
            <w:tcW w:w="5386" w:type="dxa"/>
            <w:vAlign w:val="center"/>
          </w:tcPr>
          <w:p>
            <w:pPr>
              <w:pStyle w:val="13"/>
            </w:pPr>
            <w:r>
              <w:t>综合利用率</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成果对社会影响力</w:t>
            </w:r>
          </w:p>
        </w:tc>
        <w:tc>
          <w:tcPr>
            <w:tcW w:w="5386" w:type="dxa"/>
            <w:vAlign w:val="center"/>
          </w:tcPr>
          <w:p>
            <w:pPr>
              <w:pStyle w:val="13"/>
            </w:pPr>
            <w:r>
              <w:t>成果对社会影响力</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≥96%</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任务计划完成率</w:t>
            </w:r>
          </w:p>
        </w:tc>
        <w:tc>
          <w:tcPr>
            <w:tcW w:w="5386" w:type="dxa"/>
            <w:vAlign w:val="center"/>
          </w:tcPr>
          <w:p>
            <w:pPr>
              <w:pStyle w:val="13"/>
            </w:pPr>
            <w:r>
              <w:t>任务计划完成率</w:t>
            </w:r>
          </w:p>
        </w:tc>
        <w:tc>
          <w:tcPr>
            <w:tcW w:w="2268" w:type="dxa"/>
            <w:vAlign w:val="center"/>
          </w:tcPr>
          <w:p>
            <w:pPr>
              <w:pStyle w:val="13"/>
            </w:pPr>
            <w:r>
              <w:t>≥96%</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≥98%</w:t>
            </w:r>
          </w:p>
        </w:tc>
        <w:tc>
          <w:tcPr>
            <w:tcW w:w="1276" w:type="dxa"/>
            <w:vAlign w:val="center"/>
          </w:tcPr>
          <w:p>
            <w:pPr>
              <w:pStyle w:val="13"/>
            </w:pPr>
            <w:r>
              <w:t>依据结果评定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3、26个乡镇空气站运维费绩效目标表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13082625P00510710002E</w:t>
            </w:r>
          </w:p>
        </w:tc>
        <w:tc>
          <w:tcPr>
            <w:tcW w:w="2835" w:type="dxa"/>
            <w:vAlign w:val="center"/>
          </w:tcPr>
          <w:p>
            <w:pPr>
              <w:pStyle w:val="11"/>
            </w:pPr>
            <w:r>
              <w:t>项目名称</w:t>
            </w:r>
          </w:p>
        </w:tc>
        <w:tc>
          <w:tcPr>
            <w:tcW w:w="6095" w:type="dxa"/>
            <w:gridSpan w:val="3"/>
            <w:vAlign w:val="center"/>
          </w:tcPr>
          <w:p>
            <w:pPr>
              <w:pStyle w:val="13"/>
            </w:pPr>
            <w:r>
              <w:t>26个乡镇空气站运维费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.改善空气质量和空气效果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1.2.改善空气质量和空气效果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项目数量</w:t>
            </w:r>
          </w:p>
        </w:tc>
        <w:tc>
          <w:tcPr>
            <w:tcW w:w="2268" w:type="dxa"/>
            <w:vAlign w:val="center"/>
          </w:tcPr>
          <w:p>
            <w:pPr>
              <w:pStyle w:val="13"/>
            </w:pPr>
            <w:r>
              <w:t>1个</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ab/>
            </w:r>
          </w:p>
          <w:p>
            <w:pPr>
              <w:pStyle w:val="13"/>
            </w:pPr>
            <w:r>
              <w:t>财政拨款保障率</w:t>
            </w:r>
          </w:p>
          <w:p>
            <w:pPr>
              <w:pStyle w:val="13"/>
            </w:pPr>
          </w:p>
        </w:tc>
        <w:tc>
          <w:tcPr>
            <w:tcW w:w="5386" w:type="dxa"/>
            <w:vAlign w:val="center"/>
          </w:tcPr>
          <w:p>
            <w:pPr>
              <w:pStyle w:val="13"/>
            </w:pPr>
            <w:r>
              <w:tab/>
            </w:r>
          </w:p>
          <w:p>
            <w:pPr>
              <w:pStyle w:val="13"/>
            </w:pPr>
            <w:r>
              <w:t>财政拨款保障率</w:t>
            </w:r>
          </w:p>
          <w:p>
            <w:pPr>
              <w:pStyle w:val="13"/>
            </w:pP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项目实施进度</w:t>
            </w:r>
          </w:p>
        </w:tc>
        <w:tc>
          <w:tcPr>
            <w:tcW w:w="5386" w:type="dxa"/>
            <w:vAlign w:val="center"/>
          </w:tcPr>
          <w:p>
            <w:pPr>
              <w:pStyle w:val="13"/>
            </w:pPr>
            <w:r>
              <w:t>6月底前完成招标，合同签订工作，10月底完成系统建设，12月底项目全部完成，进行验收，支付尾款</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促进区域经济社会发展情况</w:t>
            </w:r>
          </w:p>
        </w:tc>
        <w:tc>
          <w:tcPr>
            <w:tcW w:w="5386" w:type="dxa"/>
            <w:vAlign w:val="center"/>
          </w:tcPr>
          <w:p>
            <w:pPr>
              <w:pStyle w:val="13"/>
            </w:pPr>
            <w:r>
              <w:t>促进区域经济社会发展情况</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成果对社会影响力</w:t>
            </w:r>
          </w:p>
        </w:tc>
        <w:tc>
          <w:tcPr>
            <w:tcW w:w="5386" w:type="dxa"/>
            <w:vAlign w:val="center"/>
          </w:tcPr>
          <w:p>
            <w:pPr>
              <w:pStyle w:val="13"/>
            </w:pPr>
            <w:r>
              <w:t>成果对社会影响力</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促进地区生态和谐发展情况</w:t>
            </w:r>
          </w:p>
        </w:tc>
        <w:tc>
          <w:tcPr>
            <w:tcW w:w="5386" w:type="dxa"/>
            <w:vAlign w:val="center"/>
          </w:tcPr>
          <w:p>
            <w:pPr>
              <w:pStyle w:val="13"/>
            </w:pPr>
            <w:r>
              <w:t>促进地区生态和谐发展情况</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提升公共服务水平和质量</w:t>
            </w:r>
          </w:p>
        </w:tc>
        <w:tc>
          <w:tcPr>
            <w:tcW w:w="5386" w:type="dxa"/>
            <w:vAlign w:val="center"/>
          </w:tcPr>
          <w:p>
            <w:pPr>
              <w:pStyle w:val="13"/>
            </w:pPr>
            <w:r>
              <w:t>提升公共服务水平和质量</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群众满意率（%0</w:t>
            </w:r>
          </w:p>
        </w:tc>
        <w:tc>
          <w:tcPr>
            <w:tcW w:w="5386" w:type="dxa"/>
            <w:vAlign w:val="center"/>
          </w:tcPr>
          <w:p>
            <w:pPr>
              <w:pStyle w:val="13"/>
            </w:pPr>
            <w:r>
              <w:t>群众满意率（%0</w:t>
            </w:r>
          </w:p>
        </w:tc>
        <w:tc>
          <w:tcPr>
            <w:tcW w:w="2268" w:type="dxa"/>
            <w:vAlign w:val="center"/>
          </w:tcPr>
          <w:p>
            <w:pPr>
              <w:pStyle w:val="13"/>
            </w:pPr>
            <w:r>
              <w:t>≥98%</w:t>
            </w:r>
          </w:p>
        </w:tc>
        <w:tc>
          <w:tcPr>
            <w:tcW w:w="1276" w:type="dxa"/>
            <w:vAlign w:val="center"/>
          </w:tcPr>
          <w:p>
            <w:pPr>
              <w:pStyle w:val="13"/>
            </w:pPr>
            <w:r>
              <w:t>依据结果评定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4、潮河流域综合治理规划编制费绩效目标表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13082625P00305010001A</w:t>
            </w:r>
          </w:p>
        </w:tc>
        <w:tc>
          <w:tcPr>
            <w:tcW w:w="2835" w:type="dxa"/>
            <w:vAlign w:val="center"/>
          </w:tcPr>
          <w:p>
            <w:pPr>
              <w:pStyle w:val="11"/>
            </w:pPr>
            <w:r>
              <w:t>项目名称</w:t>
            </w:r>
          </w:p>
        </w:tc>
        <w:tc>
          <w:tcPr>
            <w:tcW w:w="6095" w:type="dxa"/>
            <w:gridSpan w:val="3"/>
            <w:vAlign w:val="center"/>
          </w:tcPr>
          <w:p>
            <w:pPr>
              <w:pStyle w:val="13"/>
            </w:pPr>
            <w:r>
              <w:t>潮河流域综合治理规划编制费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完成潮河流域综合治理规划编制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1.完成潮河流域综合治理规划编制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项目数量</w:t>
            </w:r>
          </w:p>
        </w:tc>
        <w:tc>
          <w:tcPr>
            <w:tcW w:w="2268" w:type="dxa"/>
            <w:vAlign w:val="center"/>
          </w:tcPr>
          <w:p>
            <w:pPr>
              <w:pStyle w:val="13"/>
            </w:pPr>
            <w:r>
              <w:t>1个</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项目实施进度</w:t>
            </w:r>
          </w:p>
        </w:tc>
        <w:tc>
          <w:tcPr>
            <w:tcW w:w="5386" w:type="dxa"/>
            <w:vAlign w:val="center"/>
          </w:tcPr>
          <w:p>
            <w:pPr>
              <w:pStyle w:val="13"/>
            </w:pPr>
            <w:r>
              <w:t>项目实施进度</w:t>
            </w:r>
          </w:p>
        </w:tc>
        <w:tc>
          <w:tcPr>
            <w:tcW w:w="2268" w:type="dxa"/>
            <w:vAlign w:val="center"/>
          </w:tcPr>
          <w:p>
            <w:pPr>
              <w:pStyle w:val="13"/>
            </w:pPr>
            <w:r>
              <w:t>≥97%</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促进区域经济社会发展情况</w:t>
            </w:r>
          </w:p>
        </w:tc>
        <w:tc>
          <w:tcPr>
            <w:tcW w:w="5386" w:type="dxa"/>
            <w:vAlign w:val="center"/>
          </w:tcPr>
          <w:p>
            <w:pPr>
              <w:pStyle w:val="13"/>
            </w:pPr>
            <w:r>
              <w:t>促进区域经济社会发展情况</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 xml:space="preserve">带动消费情况 </w:t>
            </w:r>
          </w:p>
        </w:tc>
        <w:tc>
          <w:tcPr>
            <w:tcW w:w="5386" w:type="dxa"/>
            <w:vAlign w:val="center"/>
          </w:tcPr>
          <w:p>
            <w:pPr>
              <w:pStyle w:val="13"/>
            </w:pPr>
            <w:r>
              <w:t xml:space="preserve">带动消费情况 </w:t>
            </w:r>
          </w:p>
        </w:tc>
        <w:tc>
          <w:tcPr>
            <w:tcW w:w="2268" w:type="dxa"/>
            <w:vAlign w:val="center"/>
          </w:tcPr>
          <w:p>
            <w:pPr>
              <w:pStyle w:val="13"/>
            </w:pPr>
            <w:r>
              <w:t>≥97%</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项目实施对环境的影响</w:t>
            </w:r>
          </w:p>
        </w:tc>
        <w:tc>
          <w:tcPr>
            <w:tcW w:w="5386" w:type="dxa"/>
            <w:vAlign w:val="center"/>
          </w:tcPr>
          <w:p>
            <w:pPr>
              <w:pStyle w:val="13"/>
            </w:pPr>
            <w:r>
              <w:t>项目实施对环境的影响</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提升公共服务水平和质量</w:t>
            </w:r>
          </w:p>
        </w:tc>
        <w:tc>
          <w:tcPr>
            <w:tcW w:w="5386" w:type="dxa"/>
            <w:vAlign w:val="center"/>
          </w:tcPr>
          <w:p>
            <w:pPr>
              <w:pStyle w:val="13"/>
            </w:pPr>
            <w:r>
              <w:t>提升公共服务水平和质量</w:t>
            </w:r>
          </w:p>
        </w:tc>
        <w:tc>
          <w:tcPr>
            <w:tcW w:w="2268" w:type="dxa"/>
            <w:vAlign w:val="center"/>
          </w:tcPr>
          <w:p>
            <w:pPr>
              <w:pStyle w:val="13"/>
            </w:pPr>
            <w:r>
              <w:t>≥97%</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群众满意率（%0</w:t>
            </w:r>
          </w:p>
        </w:tc>
        <w:tc>
          <w:tcPr>
            <w:tcW w:w="5386" w:type="dxa"/>
            <w:vAlign w:val="center"/>
          </w:tcPr>
          <w:p>
            <w:pPr>
              <w:pStyle w:val="13"/>
            </w:pPr>
            <w:r>
              <w:t>群众满意率（%0</w:t>
            </w:r>
          </w:p>
        </w:tc>
        <w:tc>
          <w:tcPr>
            <w:tcW w:w="2268" w:type="dxa"/>
            <w:vAlign w:val="center"/>
          </w:tcPr>
          <w:p>
            <w:pPr>
              <w:pStyle w:val="13"/>
            </w:pPr>
            <w:r>
              <w:t>≥99%</w:t>
            </w:r>
          </w:p>
        </w:tc>
        <w:tc>
          <w:tcPr>
            <w:tcW w:w="1276" w:type="dxa"/>
            <w:vAlign w:val="center"/>
          </w:tcPr>
          <w:p>
            <w:pPr>
              <w:pStyle w:val="13"/>
            </w:pPr>
            <w:r>
              <w:t>依据结果评定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5、大气环保管家绩效目标表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13082625P00304710001T</w:t>
            </w:r>
          </w:p>
        </w:tc>
        <w:tc>
          <w:tcPr>
            <w:tcW w:w="2835" w:type="dxa"/>
            <w:vAlign w:val="center"/>
          </w:tcPr>
          <w:p>
            <w:pPr>
              <w:pStyle w:val="11"/>
            </w:pPr>
            <w:r>
              <w:t>项目名称</w:t>
            </w:r>
          </w:p>
        </w:tc>
        <w:tc>
          <w:tcPr>
            <w:tcW w:w="6095" w:type="dxa"/>
            <w:gridSpan w:val="3"/>
            <w:vAlign w:val="center"/>
          </w:tcPr>
          <w:p>
            <w:pPr>
              <w:pStyle w:val="13"/>
            </w:pPr>
            <w:r>
              <w:t>大气环保管家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41.30</w:t>
            </w:r>
          </w:p>
        </w:tc>
        <w:tc>
          <w:tcPr>
            <w:tcW w:w="2835" w:type="dxa"/>
            <w:vAlign w:val="center"/>
          </w:tcPr>
          <w:p>
            <w:pPr>
              <w:pStyle w:val="11"/>
            </w:pPr>
            <w:r>
              <w:t>其中：财政    资金</w:t>
            </w:r>
          </w:p>
        </w:tc>
        <w:tc>
          <w:tcPr>
            <w:tcW w:w="2551" w:type="dxa"/>
            <w:vAlign w:val="center"/>
          </w:tcPr>
          <w:p>
            <w:pPr>
              <w:pStyle w:val="13"/>
            </w:pPr>
            <w:r>
              <w:t>41.30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空气质实现续巩固改善，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1.空气质实现续巩固改善，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项目数量</w:t>
            </w:r>
          </w:p>
        </w:tc>
        <w:tc>
          <w:tcPr>
            <w:tcW w:w="2268" w:type="dxa"/>
            <w:vAlign w:val="center"/>
          </w:tcPr>
          <w:p>
            <w:pPr>
              <w:pStyle w:val="13"/>
            </w:pPr>
            <w:r>
              <w:t>1个</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ab/>
            </w:r>
          </w:p>
          <w:p>
            <w:pPr>
              <w:pStyle w:val="13"/>
            </w:pPr>
            <w:r>
              <w:t>财政拨款保障率</w:t>
            </w:r>
          </w:p>
          <w:p>
            <w:pPr>
              <w:pStyle w:val="13"/>
            </w:pPr>
          </w:p>
        </w:tc>
        <w:tc>
          <w:tcPr>
            <w:tcW w:w="5386" w:type="dxa"/>
            <w:vAlign w:val="center"/>
          </w:tcPr>
          <w:p>
            <w:pPr>
              <w:pStyle w:val="13"/>
            </w:pPr>
            <w:r>
              <w:tab/>
            </w:r>
          </w:p>
          <w:p>
            <w:pPr>
              <w:pStyle w:val="13"/>
            </w:pPr>
            <w:r>
              <w:t>财政拨款保障率</w:t>
            </w:r>
          </w:p>
          <w:p>
            <w:pPr>
              <w:pStyle w:val="13"/>
            </w:pP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项目实施进度</w:t>
            </w:r>
          </w:p>
        </w:tc>
        <w:tc>
          <w:tcPr>
            <w:tcW w:w="5386" w:type="dxa"/>
            <w:vAlign w:val="center"/>
          </w:tcPr>
          <w:p>
            <w:pPr>
              <w:pStyle w:val="13"/>
            </w:pPr>
            <w:r>
              <w:t>12月底前完成招标，合同签订工作，10月底完成系统建设，12月底项目全部完成，进行验收，支付尾款</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综合利用率</w:t>
            </w:r>
          </w:p>
        </w:tc>
        <w:tc>
          <w:tcPr>
            <w:tcW w:w="5386" w:type="dxa"/>
            <w:vAlign w:val="center"/>
          </w:tcPr>
          <w:p>
            <w:pPr>
              <w:pStyle w:val="13"/>
            </w:pPr>
            <w:r>
              <w:t xml:space="preserve">基础设施建成后的利用、使用情况 </w:t>
            </w:r>
          </w:p>
          <w:p>
            <w:pPr>
              <w:pStyle w:val="13"/>
            </w:pPr>
          </w:p>
        </w:tc>
        <w:tc>
          <w:tcPr>
            <w:tcW w:w="2268" w:type="dxa"/>
            <w:vAlign w:val="center"/>
          </w:tcPr>
          <w:p>
            <w:pPr>
              <w:pStyle w:val="13"/>
            </w:pPr>
            <w:r>
              <w:t>≥97%</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社会影响度</w:t>
            </w:r>
          </w:p>
        </w:tc>
        <w:tc>
          <w:tcPr>
            <w:tcW w:w="5386" w:type="dxa"/>
            <w:vAlign w:val="center"/>
          </w:tcPr>
          <w:p>
            <w:pPr>
              <w:pStyle w:val="13"/>
            </w:pPr>
            <w:r>
              <w:t>社会影响度</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大气环境质量改善</w:t>
            </w:r>
          </w:p>
        </w:tc>
        <w:tc>
          <w:tcPr>
            <w:tcW w:w="5386" w:type="dxa"/>
            <w:vAlign w:val="center"/>
          </w:tcPr>
          <w:p>
            <w:pPr>
              <w:pStyle w:val="13"/>
            </w:pPr>
            <w:r>
              <w:t>大气环境质量改善</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科研成果可持续影响</w:t>
            </w:r>
          </w:p>
        </w:tc>
        <w:tc>
          <w:tcPr>
            <w:tcW w:w="5386" w:type="dxa"/>
            <w:vAlign w:val="center"/>
          </w:tcPr>
          <w:p>
            <w:pPr>
              <w:pStyle w:val="13"/>
            </w:pPr>
            <w:r>
              <w:t>科研成果可持续影响</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≥99%</w:t>
            </w:r>
          </w:p>
        </w:tc>
        <w:tc>
          <w:tcPr>
            <w:tcW w:w="1276" w:type="dxa"/>
            <w:vAlign w:val="center"/>
          </w:tcPr>
          <w:p>
            <w:pPr>
              <w:pStyle w:val="13"/>
            </w:pPr>
            <w:r>
              <w:t>依据结果评定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6、大气指挥调度平台绩效目标表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13082625P00304810001G</w:t>
            </w:r>
          </w:p>
        </w:tc>
        <w:tc>
          <w:tcPr>
            <w:tcW w:w="2835" w:type="dxa"/>
            <w:vAlign w:val="center"/>
          </w:tcPr>
          <w:p>
            <w:pPr>
              <w:pStyle w:val="11"/>
            </w:pPr>
            <w:r>
              <w:t>项目名称</w:t>
            </w:r>
          </w:p>
        </w:tc>
        <w:tc>
          <w:tcPr>
            <w:tcW w:w="6095" w:type="dxa"/>
            <w:gridSpan w:val="3"/>
            <w:vAlign w:val="center"/>
          </w:tcPr>
          <w:p>
            <w:pPr>
              <w:pStyle w:val="13"/>
            </w:pPr>
            <w:r>
              <w:t>大气指挥调度平台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完成省市县大气指挥平台三级联网任务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1.完成省市县大气指挥平台三级联网任务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项目数量</w:t>
            </w:r>
          </w:p>
        </w:tc>
        <w:tc>
          <w:tcPr>
            <w:tcW w:w="2268" w:type="dxa"/>
            <w:vAlign w:val="center"/>
          </w:tcPr>
          <w:p>
            <w:pPr>
              <w:pStyle w:val="13"/>
            </w:pPr>
            <w:r>
              <w:t>98个</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综合利用率</w:t>
            </w:r>
          </w:p>
        </w:tc>
        <w:tc>
          <w:tcPr>
            <w:tcW w:w="5386" w:type="dxa"/>
            <w:vAlign w:val="center"/>
          </w:tcPr>
          <w:p>
            <w:pPr>
              <w:pStyle w:val="13"/>
            </w:pPr>
            <w:r>
              <w:t>综合利用率</w:t>
            </w:r>
          </w:p>
        </w:tc>
        <w:tc>
          <w:tcPr>
            <w:tcW w:w="2268" w:type="dxa"/>
            <w:vAlign w:val="center"/>
          </w:tcPr>
          <w:p>
            <w:pPr>
              <w:pStyle w:val="13"/>
            </w:pPr>
            <w:r>
              <w:t>≥96%</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保障设备正常运行</w:t>
            </w:r>
          </w:p>
        </w:tc>
        <w:tc>
          <w:tcPr>
            <w:tcW w:w="5386" w:type="dxa"/>
            <w:vAlign w:val="center"/>
          </w:tcPr>
          <w:p>
            <w:pPr>
              <w:pStyle w:val="13"/>
            </w:pPr>
            <w:r>
              <w:t>保障设备正常运行</w:t>
            </w:r>
          </w:p>
        </w:tc>
        <w:tc>
          <w:tcPr>
            <w:tcW w:w="2268" w:type="dxa"/>
            <w:vAlign w:val="center"/>
          </w:tcPr>
          <w:p>
            <w:pPr>
              <w:pStyle w:val="13"/>
            </w:pPr>
            <w:r>
              <w:t>≥97%</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综合利用率</w:t>
            </w:r>
          </w:p>
        </w:tc>
        <w:tc>
          <w:tcPr>
            <w:tcW w:w="5386" w:type="dxa"/>
            <w:vAlign w:val="center"/>
          </w:tcPr>
          <w:p>
            <w:pPr>
              <w:pStyle w:val="13"/>
            </w:pPr>
            <w:r>
              <w:t>综合利用率</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≥99%</w:t>
            </w:r>
          </w:p>
        </w:tc>
        <w:tc>
          <w:tcPr>
            <w:tcW w:w="1276" w:type="dxa"/>
            <w:vAlign w:val="center"/>
          </w:tcPr>
          <w:p>
            <w:pPr>
              <w:pStyle w:val="13"/>
            </w:pPr>
            <w:r>
              <w:t>依据结果评定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7、党政机关电锅炉维修及运维费绩效目标表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13082625P004FB810002D</w:t>
            </w:r>
          </w:p>
        </w:tc>
        <w:tc>
          <w:tcPr>
            <w:tcW w:w="2835" w:type="dxa"/>
            <w:vAlign w:val="center"/>
          </w:tcPr>
          <w:p>
            <w:pPr>
              <w:pStyle w:val="11"/>
            </w:pPr>
            <w:r>
              <w:t>项目名称</w:t>
            </w:r>
          </w:p>
        </w:tc>
        <w:tc>
          <w:tcPr>
            <w:tcW w:w="6095" w:type="dxa"/>
            <w:gridSpan w:val="3"/>
            <w:vAlign w:val="center"/>
          </w:tcPr>
          <w:p>
            <w:pPr>
              <w:pStyle w:val="13"/>
            </w:pPr>
            <w:r>
              <w:t>党政机关电锅炉维修及运维费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90.00</w:t>
            </w:r>
          </w:p>
        </w:tc>
        <w:tc>
          <w:tcPr>
            <w:tcW w:w="2835" w:type="dxa"/>
            <w:vAlign w:val="center"/>
          </w:tcPr>
          <w:p>
            <w:pPr>
              <w:pStyle w:val="11"/>
            </w:pPr>
            <w:r>
              <w:t>其中：财政    资金</w:t>
            </w:r>
          </w:p>
        </w:tc>
        <w:tc>
          <w:tcPr>
            <w:tcW w:w="2551" w:type="dxa"/>
            <w:vAlign w:val="center"/>
          </w:tcPr>
          <w:p>
            <w:pPr>
              <w:pStyle w:val="13"/>
            </w:pPr>
            <w:r>
              <w:t>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改善生活环境，改善空气质量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1.改善生活环境，改善空气质量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项目数量</w:t>
            </w:r>
          </w:p>
        </w:tc>
        <w:tc>
          <w:tcPr>
            <w:tcW w:w="2268" w:type="dxa"/>
            <w:vAlign w:val="center"/>
          </w:tcPr>
          <w:p>
            <w:pPr>
              <w:pStyle w:val="13"/>
            </w:pPr>
            <w:r>
              <w:t>1个</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ab/>
            </w:r>
          </w:p>
          <w:p>
            <w:pPr>
              <w:pStyle w:val="13"/>
            </w:pPr>
            <w:r>
              <w:t>财政拨款保障率</w:t>
            </w:r>
          </w:p>
          <w:p>
            <w:pPr>
              <w:pStyle w:val="13"/>
            </w:pPr>
          </w:p>
        </w:tc>
        <w:tc>
          <w:tcPr>
            <w:tcW w:w="5386" w:type="dxa"/>
            <w:vAlign w:val="center"/>
          </w:tcPr>
          <w:p>
            <w:pPr>
              <w:pStyle w:val="13"/>
            </w:pPr>
            <w:r>
              <w:tab/>
            </w:r>
          </w:p>
          <w:p>
            <w:pPr>
              <w:pStyle w:val="13"/>
            </w:pPr>
            <w:r>
              <w:t>财政拨款保障率</w:t>
            </w:r>
          </w:p>
          <w:p>
            <w:pPr>
              <w:pStyle w:val="13"/>
            </w:pP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项目实施进度</w:t>
            </w:r>
          </w:p>
        </w:tc>
        <w:tc>
          <w:tcPr>
            <w:tcW w:w="5386" w:type="dxa"/>
            <w:vAlign w:val="center"/>
          </w:tcPr>
          <w:p>
            <w:pPr>
              <w:pStyle w:val="13"/>
            </w:pPr>
            <w:r>
              <w:t>6月底前完成招标，合同签订工作，10月底完成系统建设，12月底项目全部完成，进行验收，支付尾款</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促进区域经济社会发展情况</w:t>
            </w:r>
          </w:p>
        </w:tc>
        <w:tc>
          <w:tcPr>
            <w:tcW w:w="5386" w:type="dxa"/>
            <w:vAlign w:val="center"/>
          </w:tcPr>
          <w:p>
            <w:pPr>
              <w:pStyle w:val="13"/>
            </w:pPr>
            <w:r>
              <w:t>促进区域经济社会发展情况</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对社会发展带来的影响</w:t>
            </w:r>
          </w:p>
        </w:tc>
        <w:tc>
          <w:tcPr>
            <w:tcW w:w="5386" w:type="dxa"/>
            <w:vAlign w:val="center"/>
          </w:tcPr>
          <w:p>
            <w:pPr>
              <w:pStyle w:val="13"/>
            </w:pPr>
            <w:r>
              <w:t>对社会发展带来的影响</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提升公共服务水平和质量</w:t>
            </w:r>
          </w:p>
        </w:tc>
        <w:tc>
          <w:tcPr>
            <w:tcW w:w="5386" w:type="dxa"/>
            <w:vAlign w:val="center"/>
          </w:tcPr>
          <w:p>
            <w:pPr>
              <w:pStyle w:val="13"/>
            </w:pPr>
            <w:r>
              <w:t>提升公共服务水平和质量</w:t>
            </w:r>
          </w:p>
        </w:tc>
        <w:tc>
          <w:tcPr>
            <w:tcW w:w="2268" w:type="dxa"/>
            <w:vAlign w:val="center"/>
          </w:tcPr>
          <w:p>
            <w:pPr>
              <w:pStyle w:val="13"/>
            </w:pPr>
            <w:r>
              <w:t>≥97%</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促进地区生态和谐发展情况</w:t>
            </w:r>
          </w:p>
        </w:tc>
        <w:tc>
          <w:tcPr>
            <w:tcW w:w="5386" w:type="dxa"/>
            <w:vAlign w:val="center"/>
          </w:tcPr>
          <w:p>
            <w:pPr>
              <w:pStyle w:val="13"/>
            </w:pPr>
            <w:r>
              <w:t>促进地区生态和谐发展情况</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≥99%</w:t>
            </w:r>
          </w:p>
        </w:tc>
        <w:tc>
          <w:tcPr>
            <w:tcW w:w="1276" w:type="dxa"/>
            <w:vAlign w:val="center"/>
          </w:tcPr>
          <w:p>
            <w:pPr>
              <w:pStyle w:val="13"/>
            </w:pPr>
            <w:r>
              <w:t>依据结果评定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8、集中供热服务费及锅炉分期款绩效目标表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13082625P0032H510004P</w:t>
            </w:r>
          </w:p>
        </w:tc>
        <w:tc>
          <w:tcPr>
            <w:tcW w:w="2835" w:type="dxa"/>
            <w:vAlign w:val="center"/>
          </w:tcPr>
          <w:p>
            <w:pPr>
              <w:pStyle w:val="11"/>
            </w:pPr>
            <w:r>
              <w:t>项目名称</w:t>
            </w:r>
          </w:p>
        </w:tc>
        <w:tc>
          <w:tcPr>
            <w:tcW w:w="6095" w:type="dxa"/>
            <w:gridSpan w:val="3"/>
            <w:vAlign w:val="center"/>
          </w:tcPr>
          <w:p>
            <w:pPr>
              <w:pStyle w:val="13"/>
            </w:pPr>
            <w:r>
              <w:t>集中供热服务费及锅炉分期款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w:t>
            </w:r>
          </w:p>
        </w:tc>
        <w:tc>
          <w:tcPr>
            <w:tcW w:w="2835" w:type="dxa"/>
            <w:vAlign w:val="center"/>
          </w:tcPr>
          <w:p>
            <w:pPr>
              <w:pStyle w:val="11"/>
            </w:pPr>
            <w:r>
              <w:t>其中：财政    资金</w:t>
            </w:r>
          </w:p>
        </w:tc>
        <w:tc>
          <w:tcPr>
            <w:tcW w:w="2551" w:type="dxa"/>
            <w:vAlign w:val="center"/>
          </w:tcPr>
          <w:p>
            <w:pPr>
              <w:pStyle w:val="13"/>
            </w:pPr>
            <w:r>
              <w:t>400.00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行政事业单位冬季取暖服务外包费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1.行政事业单位冬季取暖服务外包费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项目数量</w:t>
            </w:r>
          </w:p>
        </w:tc>
        <w:tc>
          <w:tcPr>
            <w:tcW w:w="2268" w:type="dxa"/>
            <w:vAlign w:val="center"/>
          </w:tcPr>
          <w:p>
            <w:pPr>
              <w:pStyle w:val="13"/>
            </w:pPr>
            <w:r>
              <w:t>1个</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综合利用率</w:t>
            </w:r>
          </w:p>
        </w:tc>
        <w:tc>
          <w:tcPr>
            <w:tcW w:w="5386" w:type="dxa"/>
            <w:vAlign w:val="center"/>
          </w:tcPr>
          <w:p>
            <w:pPr>
              <w:pStyle w:val="13"/>
            </w:pPr>
            <w:r>
              <w:t>综合利用率</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保障设备正常运行</w:t>
            </w:r>
          </w:p>
        </w:tc>
        <w:tc>
          <w:tcPr>
            <w:tcW w:w="5386" w:type="dxa"/>
            <w:vAlign w:val="center"/>
          </w:tcPr>
          <w:p>
            <w:pPr>
              <w:pStyle w:val="13"/>
            </w:pPr>
            <w:r>
              <w:t>保障设备正常运行</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综合利用率</w:t>
            </w:r>
          </w:p>
        </w:tc>
        <w:tc>
          <w:tcPr>
            <w:tcW w:w="5386" w:type="dxa"/>
            <w:vAlign w:val="center"/>
          </w:tcPr>
          <w:p>
            <w:pPr>
              <w:pStyle w:val="13"/>
            </w:pPr>
            <w:r>
              <w:t>综合利用率</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≥98%</w:t>
            </w:r>
          </w:p>
        </w:tc>
        <w:tc>
          <w:tcPr>
            <w:tcW w:w="1276" w:type="dxa"/>
            <w:vAlign w:val="center"/>
          </w:tcPr>
          <w:p>
            <w:pPr>
              <w:pStyle w:val="13"/>
            </w:pPr>
            <w:r>
              <w:t>依据结果评定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9、冀财资环【2023】118号丰宁满族自治县潮河源头生态廊道建设工程绩效目标表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13082624P00001210003R</w:t>
            </w:r>
          </w:p>
        </w:tc>
        <w:tc>
          <w:tcPr>
            <w:tcW w:w="2835" w:type="dxa"/>
            <w:vAlign w:val="center"/>
          </w:tcPr>
          <w:p>
            <w:pPr>
              <w:pStyle w:val="11"/>
            </w:pPr>
            <w:r>
              <w:t>项目名称</w:t>
            </w:r>
          </w:p>
        </w:tc>
        <w:tc>
          <w:tcPr>
            <w:tcW w:w="6095" w:type="dxa"/>
            <w:gridSpan w:val="3"/>
            <w:vAlign w:val="center"/>
          </w:tcPr>
          <w:p>
            <w:pPr>
              <w:pStyle w:val="13"/>
            </w:pPr>
            <w:r>
              <w:t>冀财资环【2023】118号丰宁满族自治县潮河源头生态廊道建设工程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369.00</w:t>
            </w:r>
          </w:p>
        </w:tc>
        <w:tc>
          <w:tcPr>
            <w:tcW w:w="2835" w:type="dxa"/>
            <w:vAlign w:val="center"/>
          </w:tcPr>
          <w:p>
            <w:pPr>
              <w:pStyle w:val="11"/>
            </w:pPr>
            <w:r>
              <w:t>其中：财政    资金</w:t>
            </w:r>
          </w:p>
        </w:tc>
        <w:tc>
          <w:tcPr>
            <w:tcW w:w="2551" w:type="dxa"/>
            <w:vAlign w:val="center"/>
          </w:tcPr>
          <w:p>
            <w:pPr>
              <w:pStyle w:val="13"/>
            </w:pPr>
            <w:r>
              <w:t>369.00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用于潮河源头生态廊道建设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w:t>
            </w:r>
          </w:p>
        </w:tc>
        <w:tc>
          <w:tcPr>
            <w:tcW w:w="2835" w:type="dxa"/>
            <w:vAlign w:val="center"/>
          </w:tcPr>
          <w:p>
            <w:pPr>
              <w:pStyle w:val="14"/>
            </w:pPr>
            <w:r>
              <w:t>50%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1.加大水污染防治力度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建设**数量</w:t>
            </w:r>
          </w:p>
        </w:tc>
        <w:tc>
          <w:tcPr>
            <w:tcW w:w="5386" w:type="dxa"/>
            <w:vAlign w:val="center"/>
          </w:tcPr>
          <w:p>
            <w:pPr>
              <w:pStyle w:val="13"/>
            </w:pPr>
            <w:r>
              <w:t>建设**数量</w:t>
            </w:r>
          </w:p>
        </w:tc>
        <w:tc>
          <w:tcPr>
            <w:tcW w:w="2268" w:type="dxa"/>
            <w:vAlign w:val="center"/>
          </w:tcPr>
          <w:p>
            <w:pPr>
              <w:pStyle w:val="13"/>
            </w:pPr>
            <w:r>
              <w:t>1个</w:t>
            </w:r>
          </w:p>
        </w:tc>
        <w:tc>
          <w:tcPr>
            <w:tcW w:w="1276" w:type="dxa"/>
            <w:vAlign w:val="center"/>
          </w:tcPr>
          <w:p>
            <w:pPr>
              <w:pStyle w:val="13"/>
            </w:pPr>
            <w:r>
              <w:t>建设**数量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验收项目情况</w:t>
            </w:r>
          </w:p>
        </w:tc>
        <w:tc>
          <w:tcPr>
            <w:tcW w:w="5386" w:type="dxa"/>
            <w:vAlign w:val="center"/>
          </w:tcPr>
          <w:p>
            <w:pPr>
              <w:pStyle w:val="13"/>
            </w:pPr>
            <w:r>
              <w:t>验收项目情况</w:t>
            </w:r>
          </w:p>
        </w:tc>
        <w:tc>
          <w:tcPr>
            <w:tcW w:w="2268" w:type="dxa"/>
            <w:vAlign w:val="center"/>
          </w:tcPr>
          <w:p>
            <w:pPr>
              <w:pStyle w:val="13"/>
            </w:pPr>
            <w:r>
              <w:t>≥99%</w:t>
            </w:r>
          </w:p>
        </w:tc>
        <w:tc>
          <w:tcPr>
            <w:tcW w:w="1276" w:type="dxa"/>
            <w:vAlign w:val="center"/>
          </w:tcPr>
          <w:p>
            <w:pPr>
              <w:pStyle w:val="13"/>
            </w:pPr>
            <w:r>
              <w:t>验收项目情况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按期完成率</w:t>
            </w:r>
          </w:p>
        </w:tc>
        <w:tc>
          <w:tcPr>
            <w:tcW w:w="5386" w:type="dxa"/>
            <w:vAlign w:val="center"/>
          </w:tcPr>
          <w:p>
            <w:pPr>
              <w:pStyle w:val="13"/>
            </w:pPr>
            <w:r>
              <w:t>按期完成率</w:t>
            </w:r>
          </w:p>
        </w:tc>
        <w:tc>
          <w:tcPr>
            <w:tcW w:w="2268" w:type="dxa"/>
            <w:vAlign w:val="center"/>
          </w:tcPr>
          <w:p>
            <w:pPr>
              <w:pStyle w:val="13"/>
            </w:pPr>
            <w:r>
              <w:t>≥99%</w:t>
            </w:r>
          </w:p>
        </w:tc>
        <w:tc>
          <w:tcPr>
            <w:tcW w:w="1276" w:type="dxa"/>
            <w:vAlign w:val="center"/>
          </w:tcPr>
          <w:p>
            <w:pPr>
              <w:pStyle w:val="13"/>
            </w:pPr>
            <w:r>
              <w:t>按期完成率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1230万元</w:t>
            </w:r>
          </w:p>
        </w:tc>
        <w:tc>
          <w:tcPr>
            <w:tcW w:w="1276" w:type="dxa"/>
            <w:vAlign w:val="center"/>
          </w:tcPr>
          <w:p>
            <w:pPr>
              <w:pStyle w:val="13"/>
            </w:pPr>
            <w:r>
              <w:t>项目总成本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带动相关领域及行业效益水平提高</w:t>
            </w:r>
          </w:p>
        </w:tc>
        <w:tc>
          <w:tcPr>
            <w:tcW w:w="5386" w:type="dxa"/>
            <w:vAlign w:val="center"/>
          </w:tcPr>
          <w:p>
            <w:pPr>
              <w:pStyle w:val="13"/>
            </w:pPr>
            <w:r>
              <w:t>带动相关领域及行业效益水平提高情况</w:t>
            </w:r>
          </w:p>
        </w:tc>
        <w:tc>
          <w:tcPr>
            <w:tcW w:w="2268" w:type="dxa"/>
            <w:vAlign w:val="center"/>
          </w:tcPr>
          <w:p>
            <w:pPr>
              <w:pStyle w:val="13"/>
            </w:pPr>
            <w:r>
              <w:t>≥99%</w:t>
            </w:r>
          </w:p>
        </w:tc>
        <w:tc>
          <w:tcPr>
            <w:tcW w:w="1276" w:type="dxa"/>
            <w:vAlign w:val="center"/>
          </w:tcPr>
          <w:p>
            <w:pPr>
              <w:pStyle w:val="13"/>
            </w:pPr>
            <w:r>
              <w:t>带动相关领域及行业效益水平提高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有较好的社会影响</w:t>
            </w:r>
          </w:p>
        </w:tc>
        <w:tc>
          <w:tcPr>
            <w:tcW w:w="5386" w:type="dxa"/>
            <w:vAlign w:val="center"/>
          </w:tcPr>
          <w:p>
            <w:pPr>
              <w:pStyle w:val="13"/>
            </w:pPr>
            <w:r>
              <w:t>有较好的社会影响</w:t>
            </w:r>
          </w:p>
        </w:tc>
        <w:tc>
          <w:tcPr>
            <w:tcW w:w="2268" w:type="dxa"/>
            <w:vAlign w:val="center"/>
          </w:tcPr>
          <w:p>
            <w:pPr>
              <w:pStyle w:val="13"/>
            </w:pPr>
            <w:r>
              <w:t>≥99%</w:t>
            </w:r>
          </w:p>
        </w:tc>
        <w:tc>
          <w:tcPr>
            <w:tcW w:w="1276" w:type="dxa"/>
            <w:vAlign w:val="center"/>
          </w:tcPr>
          <w:p>
            <w:pPr>
              <w:pStyle w:val="13"/>
            </w:pPr>
            <w:r>
              <w:t>有较好的社会影响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生态效益增值率</w:t>
            </w:r>
          </w:p>
        </w:tc>
        <w:tc>
          <w:tcPr>
            <w:tcW w:w="5386" w:type="dxa"/>
            <w:vAlign w:val="center"/>
          </w:tcPr>
          <w:p>
            <w:pPr>
              <w:pStyle w:val="13"/>
            </w:pPr>
            <w:r>
              <w:t>项目实施后生态效益增长率</w:t>
            </w:r>
          </w:p>
        </w:tc>
        <w:tc>
          <w:tcPr>
            <w:tcW w:w="2268" w:type="dxa"/>
            <w:vAlign w:val="center"/>
          </w:tcPr>
          <w:p>
            <w:pPr>
              <w:pStyle w:val="13"/>
            </w:pPr>
            <w:r>
              <w:t>≥99%</w:t>
            </w:r>
          </w:p>
        </w:tc>
        <w:tc>
          <w:tcPr>
            <w:tcW w:w="1276" w:type="dxa"/>
            <w:vAlign w:val="center"/>
          </w:tcPr>
          <w:p>
            <w:pPr>
              <w:pStyle w:val="13"/>
            </w:pPr>
            <w:r>
              <w:t>生态效益增值率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研究成果可利用性</w:t>
            </w:r>
          </w:p>
        </w:tc>
        <w:tc>
          <w:tcPr>
            <w:tcW w:w="5386" w:type="dxa"/>
            <w:vAlign w:val="center"/>
          </w:tcPr>
          <w:p>
            <w:pPr>
              <w:pStyle w:val="13"/>
            </w:pPr>
            <w:r>
              <w:t>研究成果可利用性</w:t>
            </w:r>
          </w:p>
        </w:tc>
        <w:tc>
          <w:tcPr>
            <w:tcW w:w="2268" w:type="dxa"/>
            <w:vAlign w:val="center"/>
          </w:tcPr>
          <w:p>
            <w:pPr>
              <w:pStyle w:val="13"/>
            </w:pPr>
            <w:r>
              <w:t>≥99%</w:t>
            </w:r>
          </w:p>
        </w:tc>
        <w:tc>
          <w:tcPr>
            <w:tcW w:w="1276" w:type="dxa"/>
            <w:vAlign w:val="center"/>
          </w:tcPr>
          <w:p>
            <w:pPr>
              <w:pStyle w:val="13"/>
            </w:pPr>
            <w:r>
              <w:t>研究成果可利用性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≥99%</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10、冀财资环【2023】118号丰宁满族自治县农村生活污水处理站在线监测项目绩效目标表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13082624P00001210016G</w:t>
            </w:r>
          </w:p>
        </w:tc>
        <w:tc>
          <w:tcPr>
            <w:tcW w:w="2835" w:type="dxa"/>
            <w:vAlign w:val="center"/>
          </w:tcPr>
          <w:p>
            <w:pPr>
              <w:pStyle w:val="11"/>
            </w:pPr>
            <w:r>
              <w:t>项目名称</w:t>
            </w:r>
          </w:p>
        </w:tc>
        <w:tc>
          <w:tcPr>
            <w:tcW w:w="6095" w:type="dxa"/>
            <w:gridSpan w:val="3"/>
            <w:vAlign w:val="center"/>
          </w:tcPr>
          <w:p>
            <w:pPr>
              <w:pStyle w:val="13"/>
            </w:pPr>
            <w:r>
              <w:t>冀财资环【2023】118号丰宁满族自治县农村生活污水处理站在线监测项目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29.10</w:t>
            </w:r>
          </w:p>
        </w:tc>
        <w:tc>
          <w:tcPr>
            <w:tcW w:w="2835" w:type="dxa"/>
            <w:vAlign w:val="center"/>
          </w:tcPr>
          <w:p>
            <w:pPr>
              <w:pStyle w:val="11"/>
            </w:pPr>
            <w:r>
              <w:t>其中：财政    资金</w:t>
            </w:r>
          </w:p>
        </w:tc>
        <w:tc>
          <w:tcPr>
            <w:tcW w:w="2551" w:type="dxa"/>
            <w:vAlign w:val="center"/>
          </w:tcPr>
          <w:p>
            <w:pPr>
              <w:pStyle w:val="13"/>
            </w:pPr>
            <w:r>
              <w:t>29.10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改善农村环境，保障污水处理站正常运转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w:t>
            </w:r>
          </w:p>
        </w:tc>
        <w:tc>
          <w:tcPr>
            <w:tcW w:w="2835" w:type="dxa"/>
            <w:vAlign w:val="center"/>
          </w:tcPr>
          <w:p>
            <w:pPr>
              <w:pStyle w:val="14"/>
            </w:pPr>
            <w:r>
              <w:t>45%</w:t>
            </w:r>
          </w:p>
        </w:tc>
        <w:tc>
          <w:tcPr>
            <w:tcW w:w="2551" w:type="dxa"/>
            <w:vAlign w:val="center"/>
          </w:tcPr>
          <w:p>
            <w:pPr>
              <w:pStyle w:val="14"/>
            </w:pPr>
            <w:r>
              <w:t>85%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1.保障污水处理站正常运转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项目数量</w:t>
            </w:r>
          </w:p>
        </w:tc>
        <w:tc>
          <w:tcPr>
            <w:tcW w:w="2268" w:type="dxa"/>
            <w:vAlign w:val="center"/>
          </w:tcPr>
          <w:p>
            <w:pPr>
              <w:pStyle w:val="13"/>
            </w:pPr>
            <w:r>
              <w:t>1个</w:t>
            </w:r>
          </w:p>
        </w:tc>
        <w:tc>
          <w:tcPr>
            <w:tcW w:w="1276" w:type="dxa"/>
            <w:vAlign w:val="center"/>
          </w:tcPr>
          <w:p>
            <w:pPr>
              <w:pStyle w:val="13"/>
            </w:pPr>
            <w:r>
              <w:t>项目数量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评审通过率</w:t>
            </w:r>
          </w:p>
        </w:tc>
        <w:tc>
          <w:tcPr>
            <w:tcW w:w="5386" w:type="dxa"/>
            <w:vAlign w:val="center"/>
          </w:tcPr>
          <w:p>
            <w:pPr>
              <w:pStyle w:val="13"/>
            </w:pPr>
            <w:r>
              <w:t>评审通过率</w:t>
            </w:r>
          </w:p>
        </w:tc>
        <w:tc>
          <w:tcPr>
            <w:tcW w:w="2268" w:type="dxa"/>
            <w:vAlign w:val="center"/>
          </w:tcPr>
          <w:p>
            <w:pPr>
              <w:pStyle w:val="13"/>
            </w:pPr>
            <w:r>
              <w:t>≥99%</w:t>
            </w:r>
          </w:p>
        </w:tc>
        <w:tc>
          <w:tcPr>
            <w:tcW w:w="1276" w:type="dxa"/>
            <w:vAlign w:val="center"/>
          </w:tcPr>
          <w:p>
            <w:pPr>
              <w:pStyle w:val="13"/>
            </w:pPr>
            <w:r>
              <w:t>评审通过率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项目实施进度</w:t>
            </w:r>
          </w:p>
        </w:tc>
        <w:tc>
          <w:tcPr>
            <w:tcW w:w="5386" w:type="dxa"/>
            <w:vAlign w:val="center"/>
          </w:tcPr>
          <w:p>
            <w:pPr>
              <w:pStyle w:val="13"/>
            </w:pPr>
            <w:r>
              <w:t>6月底前完成招标，合同签订工作，10月底完成系统建设，12月底项目全部完成，进行验收，支付尾款</w:t>
            </w:r>
          </w:p>
        </w:tc>
        <w:tc>
          <w:tcPr>
            <w:tcW w:w="2268" w:type="dxa"/>
            <w:vAlign w:val="center"/>
          </w:tcPr>
          <w:p>
            <w:pPr>
              <w:pStyle w:val="13"/>
            </w:pPr>
            <w:r>
              <w:t>≥99%</w:t>
            </w:r>
          </w:p>
        </w:tc>
        <w:tc>
          <w:tcPr>
            <w:tcW w:w="1276" w:type="dxa"/>
            <w:vAlign w:val="center"/>
          </w:tcPr>
          <w:p>
            <w:pPr>
              <w:pStyle w:val="13"/>
            </w:pPr>
            <w:r>
              <w:t>项目实施进度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≥98%</w:t>
            </w:r>
          </w:p>
        </w:tc>
        <w:tc>
          <w:tcPr>
            <w:tcW w:w="1276" w:type="dxa"/>
            <w:vAlign w:val="center"/>
          </w:tcPr>
          <w:p>
            <w:pPr>
              <w:pStyle w:val="13"/>
            </w:pPr>
            <w:r>
              <w:t>项目资金支付率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综合利用率</w:t>
            </w:r>
          </w:p>
        </w:tc>
        <w:tc>
          <w:tcPr>
            <w:tcW w:w="5386" w:type="dxa"/>
            <w:vAlign w:val="center"/>
          </w:tcPr>
          <w:p>
            <w:pPr>
              <w:pStyle w:val="13"/>
            </w:pPr>
            <w:r>
              <w:t>综合利用率</w:t>
            </w:r>
          </w:p>
        </w:tc>
        <w:tc>
          <w:tcPr>
            <w:tcW w:w="2268" w:type="dxa"/>
            <w:vAlign w:val="center"/>
          </w:tcPr>
          <w:p>
            <w:pPr>
              <w:pStyle w:val="13"/>
            </w:pPr>
            <w:r>
              <w:t>≥99%</w:t>
            </w:r>
          </w:p>
        </w:tc>
        <w:tc>
          <w:tcPr>
            <w:tcW w:w="1276" w:type="dxa"/>
            <w:vAlign w:val="center"/>
          </w:tcPr>
          <w:p>
            <w:pPr>
              <w:pStyle w:val="13"/>
            </w:pPr>
            <w:r>
              <w:t>综合利用率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成果对社会影响力</w:t>
            </w:r>
          </w:p>
        </w:tc>
        <w:tc>
          <w:tcPr>
            <w:tcW w:w="5386" w:type="dxa"/>
            <w:vAlign w:val="center"/>
          </w:tcPr>
          <w:p>
            <w:pPr>
              <w:pStyle w:val="13"/>
            </w:pPr>
            <w:r>
              <w:t>成果对社会影响力</w:t>
            </w:r>
          </w:p>
        </w:tc>
        <w:tc>
          <w:tcPr>
            <w:tcW w:w="2268" w:type="dxa"/>
            <w:vAlign w:val="center"/>
          </w:tcPr>
          <w:p>
            <w:pPr>
              <w:pStyle w:val="13"/>
            </w:pPr>
            <w:r>
              <w:t>≥98%</w:t>
            </w:r>
          </w:p>
        </w:tc>
        <w:tc>
          <w:tcPr>
            <w:tcW w:w="1276" w:type="dxa"/>
            <w:vAlign w:val="center"/>
          </w:tcPr>
          <w:p>
            <w:pPr>
              <w:pStyle w:val="13"/>
            </w:pPr>
            <w:r>
              <w:t>成果对社会影响力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水资源利用率</w:t>
            </w:r>
          </w:p>
        </w:tc>
        <w:tc>
          <w:tcPr>
            <w:tcW w:w="5386" w:type="dxa"/>
            <w:vAlign w:val="center"/>
          </w:tcPr>
          <w:p>
            <w:pPr>
              <w:pStyle w:val="13"/>
            </w:pPr>
            <w:r>
              <w:t>水资源利用率</w:t>
            </w:r>
          </w:p>
        </w:tc>
        <w:tc>
          <w:tcPr>
            <w:tcW w:w="2268" w:type="dxa"/>
            <w:vAlign w:val="center"/>
          </w:tcPr>
          <w:p>
            <w:pPr>
              <w:pStyle w:val="13"/>
            </w:pPr>
            <w:r>
              <w:t>≥99%</w:t>
            </w:r>
          </w:p>
        </w:tc>
        <w:tc>
          <w:tcPr>
            <w:tcW w:w="1276" w:type="dxa"/>
            <w:vAlign w:val="center"/>
          </w:tcPr>
          <w:p>
            <w:pPr>
              <w:pStyle w:val="13"/>
            </w:pPr>
            <w:r>
              <w:t>水资源利用率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持续服务率(%)</w:t>
            </w:r>
          </w:p>
        </w:tc>
        <w:tc>
          <w:tcPr>
            <w:tcW w:w="5386" w:type="dxa"/>
            <w:vAlign w:val="center"/>
          </w:tcPr>
          <w:p>
            <w:pPr>
              <w:pStyle w:val="13"/>
            </w:pPr>
            <w:r>
              <w:t>持续服务率(%)</w:t>
            </w:r>
          </w:p>
        </w:tc>
        <w:tc>
          <w:tcPr>
            <w:tcW w:w="2268" w:type="dxa"/>
            <w:vAlign w:val="center"/>
          </w:tcPr>
          <w:p>
            <w:pPr>
              <w:pStyle w:val="13"/>
            </w:pPr>
            <w:r>
              <w:t>≥98%</w:t>
            </w:r>
          </w:p>
        </w:tc>
        <w:tc>
          <w:tcPr>
            <w:tcW w:w="1276" w:type="dxa"/>
            <w:vAlign w:val="center"/>
          </w:tcPr>
          <w:p>
            <w:pPr>
              <w:pStyle w:val="13"/>
            </w:pPr>
            <w:r>
              <w:t>持续服务率(%)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≥99%</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11、冀财资环【2024】110号-省级流域生态补偿资金（潮河流域）绩效目标表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13082625P00001210004U</w:t>
            </w:r>
          </w:p>
        </w:tc>
        <w:tc>
          <w:tcPr>
            <w:tcW w:w="2835" w:type="dxa"/>
            <w:vAlign w:val="center"/>
          </w:tcPr>
          <w:p>
            <w:pPr>
              <w:pStyle w:val="11"/>
            </w:pPr>
            <w:r>
              <w:t>项目名称</w:t>
            </w:r>
          </w:p>
        </w:tc>
        <w:tc>
          <w:tcPr>
            <w:tcW w:w="6095" w:type="dxa"/>
            <w:gridSpan w:val="3"/>
            <w:vAlign w:val="center"/>
          </w:tcPr>
          <w:p>
            <w:pPr>
              <w:pStyle w:val="13"/>
            </w:pPr>
            <w:r>
              <w:t>冀财资环【2024】110号-省级流域生态补偿资金（潮河流域）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1915.00</w:t>
            </w:r>
          </w:p>
        </w:tc>
        <w:tc>
          <w:tcPr>
            <w:tcW w:w="2835" w:type="dxa"/>
            <w:vAlign w:val="center"/>
          </w:tcPr>
          <w:p>
            <w:pPr>
              <w:pStyle w:val="11"/>
            </w:pPr>
            <w:r>
              <w:t>其中：财政    资金</w:t>
            </w:r>
          </w:p>
        </w:tc>
        <w:tc>
          <w:tcPr>
            <w:tcW w:w="2551" w:type="dxa"/>
            <w:vAlign w:val="center"/>
          </w:tcPr>
          <w:p>
            <w:pPr>
              <w:pStyle w:val="13"/>
            </w:pPr>
            <w:r>
              <w:t>1915.00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提高对省级污染防治资金的使用效率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1.完成省级流域生态补偿资金的项目支出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实施水环境治理项目个数</w:t>
            </w:r>
          </w:p>
        </w:tc>
        <w:tc>
          <w:tcPr>
            <w:tcW w:w="5386" w:type="dxa"/>
            <w:vAlign w:val="center"/>
          </w:tcPr>
          <w:p>
            <w:pPr>
              <w:pStyle w:val="13"/>
            </w:pPr>
            <w:r>
              <w:t>实施水环境治理项目个数</w:t>
            </w:r>
          </w:p>
        </w:tc>
        <w:tc>
          <w:tcPr>
            <w:tcW w:w="2268" w:type="dxa"/>
            <w:vAlign w:val="center"/>
          </w:tcPr>
          <w:p>
            <w:pPr>
              <w:pStyle w:val="13"/>
            </w:pPr>
            <w:r>
              <w:t>≥4个</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依照项目计划及时完成相关工作</w:t>
            </w:r>
          </w:p>
        </w:tc>
        <w:tc>
          <w:tcPr>
            <w:tcW w:w="5386" w:type="dxa"/>
            <w:vAlign w:val="center"/>
          </w:tcPr>
          <w:p>
            <w:pPr>
              <w:pStyle w:val="13"/>
            </w:pPr>
            <w:r>
              <w:t>依照项目计划及时完成相关工作</w:t>
            </w:r>
          </w:p>
        </w:tc>
        <w:tc>
          <w:tcPr>
            <w:tcW w:w="2268" w:type="dxa"/>
            <w:vAlign w:val="center"/>
          </w:tcPr>
          <w:p>
            <w:pPr>
              <w:pStyle w:val="13"/>
            </w:pPr>
            <w:r>
              <w:t>及时完成</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促进区域经济社会发展情况</w:t>
            </w:r>
          </w:p>
        </w:tc>
        <w:tc>
          <w:tcPr>
            <w:tcW w:w="5386" w:type="dxa"/>
            <w:vAlign w:val="center"/>
          </w:tcPr>
          <w:p>
            <w:pPr>
              <w:pStyle w:val="13"/>
            </w:pPr>
            <w:r>
              <w:t>促进区域经济社会发展情况</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对社会发展带来的影响</w:t>
            </w:r>
          </w:p>
        </w:tc>
        <w:tc>
          <w:tcPr>
            <w:tcW w:w="5386" w:type="dxa"/>
            <w:vAlign w:val="center"/>
          </w:tcPr>
          <w:p>
            <w:pPr>
              <w:pStyle w:val="13"/>
            </w:pPr>
            <w:r>
              <w:t>对社会发展带来的影响</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项目相关区引滦流域国考断面达标率</w:t>
            </w:r>
          </w:p>
        </w:tc>
        <w:tc>
          <w:tcPr>
            <w:tcW w:w="5386" w:type="dxa"/>
            <w:vAlign w:val="center"/>
          </w:tcPr>
          <w:p>
            <w:pPr>
              <w:pStyle w:val="13"/>
            </w:pPr>
            <w:r>
              <w:t>项目相关区引滦流域国考断面达标率</w:t>
            </w:r>
          </w:p>
        </w:tc>
        <w:tc>
          <w:tcPr>
            <w:tcW w:w="2268" w:type="dxa"/>
            <w:vAlign w:val="center"/>
          </w:tcPr>
          <w:p>
            <w:pPr>
              <w:pStyle w:val="13"/>
            </w:pPr>
            <w:r>
              <w:t>≥100%</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项目发挥作用情况</w:t>
            </w:r>
          </w:p>
        </w:tc>
        <w:tc>
          <w:tcPr>
            <w:tcW w:w="5386" w:type="dxa"/>
            <w:vAlign w:val="center"/>
          </w:tcPr>
          <w:p>
            <w:pPr>
              <w:pStyle w:val="13"/>
            </w:pPr>
            <w:r>
              <w:t>项目发挥作用情况</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≥99%</w:t>
            </w:r>
          </w:p>
        </w:tc>
        <w:tc>
          <w:tcPr>
            <w:tcW w:w="1276" w:type="dxa"/>
            <w:vAlign w:val="center"/>
          </w:tcPr>
          <w:p>
            <w:pPr>
              <w:pStyle w:val="13"/>
            </w:pPr>
            <w:r>
              <w:t>依据结果评定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12、绿水青山就是金山银山实践基地绩效目标表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13082625P003051100010</w:t>
            </w:r>
          </w:p>
        </w:tc>
        <w:tc>
          <w:tcPr>
            <w:tcW w:w="2835" w:type="dxa"/>
            <w:vAlign w:val="center"/>
          </w:tcPr>
          <w:p>
            <w:pPr>
              <w:pStyle w:val="11"/>
            </w:pPr>
            <w:r>
              <w:t>项目名称</w:t>
            </w:r>
          </w:p>
        </w:tc>
        <w:tc>
          <w:tcPr>
            <w:tcW w:w="6095" w:type="dxa"/>
            <w:gridSpan w:val="3"/>
            <w:vAlign w:val="center"/>
          </w:tcPr>
          <w:p>
            <w:pPr>
              <w:pStyle w:val="13"/>
            </w:pPr>
            <w:r>
              <w:t>绿水青山就是金山银山实践基地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lang w:eastAsia="zh-CN"/>
              </w:rPr>
              <w:t>绿水青山</w:t>
            </w:r>
            <w:r>
              <w:t>就是金山银山实践基地创建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w:t>
            </w:r>
            <w:r>
              <w:rPr>
                <w:rFonts w:hint="eastAsia"/>
                <w:lang w:eastAsia="zh-CN"/>
              </w:rPr>
              <w:t>绿水青山</w:t>
            </w:r>
            <w:r>
              <w:t>就是金山银山实践基地创建</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购置数量通过率（%）</w:t>
            </w:r>
          </w:p>
        </w:tc>
        <w:tc>
          <w:tcPr>
            <w:tcW w:w="5386" w:type="dxa"/>
            <w:vAlign w:val="center"/>
          </w:tcPr>
          <w:p>
            <w:pPr>
              <w:pStyle w:val="13"/>
            </w:pPr>
            <w:r>
              <w:t>购置数量通过率（%）</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购置质量合格率（%）</w:t>
            </w:r>
          </w:p>
        </w:tc>
        <w:tc>
          <w:tcPr>
            <w:tcW w:w="5386" w:type="dxa"/>
            <w:vAlign w:val="center"/>
          </w:tcPr>
          <w:p>
            <w:pPr>
              <w:pStyle w:val="13"/>
            </w:pPr>
            <w:r>
              <w:t>购置质量合格率（%）</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各项工作完成及时率</w:t>
            </w:r>
          </w:p>
        </w:tc>
        <w:tc>
          <w:tcPr>
            <w:tcW w:w="5386" w:type="dxa"/>
            <w:vAlign w:val="center"/>
          </w:tcPr>
          <w:p>
            <w:pPr>
              <w:pStyle w:val="13"/>
            </w:pPr>
            <w:r>
              <w:t>各项工作完成及时率</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对地区经济的贡献</w:t>
            </w:r>
          </w:p>
        </w:tc>
        <w:tc>
          <w:tcPr>
            <w:tcW w:w="5386" w:type="dxa"/>
            <w:vAlign w:val="center"/>
          </w:tcPr>
          <w:p>
            <w:pPr>
              <w:pStyle w:val="13"/>
            </w:pPr>
            <w:r>
              <w:t>在公路建设中拉动地区经济发展；公路建成运营后，对地区经济的贡献情况</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社会发展</w:t>
            </w:r>
          </w:p>
        </w:tc>
        <w:tc>
          <w:tcPr>
            <w:tcW w:w="5386" w:type="dxa"/>
            <w:vAlign w:val="center"/>
          </w:tcPr>
          <w:p>
            <w:pPr>
              <w:pStyle w:val="13"/>
            </w:pPr>
            <w:r>
              <w:t>社会发展</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推动环保事业发展</w:t>
            </w:r>
          </w:p>
        </w:tc>
        <w:tc>
          <w:tcPr>
            <w:tcW w:w="5386" w:type="dxa"/>
            <w:vAlign w:val="center"/>
          </w:tcPr>
          <w:p>
            <w:pPr>
              <w:pStyle w:val="13"/>
            </w:pPr>
            <w:r>
              <w:t>推动环保事业发展</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保障项目公司正常运营</w:t>
            </w:r>
          </w:p>
        </w:tc>
        <w:tc>
          <w:tcPr>
            <w:tcW w:w="5386" w:type="dxa"/>
            <w:vAlign w:val="center"/>
          </w:tcPr>
          <w:p>
            <w:pPr>
              <w:pStyle w:val="13"/>
            </w:pPr>
            <w:r>
              <w:t>保障项目公司正常运营</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≥98%</w:t>
            </w:r>
          </w:p>
        </w:tc>
        <w:tc>
          <w:tcPr>
            <w:tcW w:w="1276" w:type="dxa"/>
            <w:vAlign w:val="center"/>
          </w:tcPr>
          <w:p>
            <w:pPr>
              <w:pStyle w:val="13"/>
            </w:pPr>
            <w:r>
              <w:t>依据结果评定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13、燃烧秸秆及河道可视化项目绩效目标表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13082625P0025MT100029</w:t>
            </w:r>
          </w:p>
        </w:tc>
        <w:tc>
          <w:tcPr>
            <w:tcW w:w="2835" w:type="dxa"/>
            <w:vAlign w:val="center"/>
          </w:tcPr>
          <w:p>
            <w:pPr>
              <w:pStyle w:val="11"/>
            </w:pPr>
            <w:r>
              <w:t>项目名称</w:t>
            </w:r>
          </w:p>
        </w:tc>
        <w:tc>
          <w:tcPr>
            <w:tcW w:w="6095" w:type="dxa"/>
            <w:gridSpan w:val="3"/>
            <w:vAlign w:val="center"/>
          </w:tcPr>
          <w:p>
            <w:pPr>
              <w:pStyle w:val="13"/>
            </w:pPr>
            <w:r>
              <w:t>燃烧秸秆及河道可视化项目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完成燃烧秸秆及河道可视化项目的运行维护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1.燃烧秸秆和可视化监控系统</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购置数量通过率（%）</w:t>
            </w:r>
          </w:p>
        </w:tc>
        <w:tc>
          <w:tcPr>
            <w:tcW w:w="5386" w:type="dxa"/>
            <w:vAlign w:val="center"/>
          </w:tcPr>
          <w:p>
            <w:pPr>
              <w:pStyle w:val="13"/>
            </w:pPr>
            <w:r>
              <w:t>购置数量通过率（%）</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≥96%</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风险等级预警业务拓展</w:t>
            </w:r>
          </w:p>
        </w:tc>
        <w:tc>
          <w:tcPr>
            <w:tcW w:w="5386" w:type="dxa"/>
            <w:vAlign w:val="center"/>
          </w:tcPr>
          <w:p>
            <w:pPr>
              <w:pStyle w:val="13"/>
            </w:pPr>
            <w:r>
              <w:t>风险等级预警业务拓展</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实际发生成本</w:t>
            </w:r>
          </w:p>
        </w:tc>
        <w:tc>
          <w:tcPr>
            <w:tcW w:w="5386" w:type="dxa"/>
            <w:vAlign w:val="center"/>
          </w:tcPr>
          <w:p>
            <w:pPr>
              <w:pStyle w:val="13"/>
            </w:pPr>
            <w:r>
              <w:t>实际发生成本</w:t>
            </w:r>
          </w:p>
        </w:tc>
        <w:tc>
          <w:tcPr>
            <w:tcW w:w="2268" w:type="dxa"/>
            <w:vAlign w:val="center"/>
          </w:tcPr>
          <w:p>
            <w:pPr>
              <w:pStyle w:val="13"/>
            </w:pPr>
            <w:r>
              <w:t>≥97%</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科技进步贡献率</w:t>
            </w:r>
          </w:p>
        </w:tc>
        <w:tc>
          <w:tcPr>
            <w:tcW w:w="5386" w:type="dxa"/>
            <w:vAlign w:val="center"/>
          </w:tcPr>
          <w:p>
            <w:pPr>
              <w:pStyle w:val="13"/>
            </w:pPr>
            <w:r>
              <w:t>科技进步贡献率</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明显社会影响力</w:t>
            </w:r>
          </w:p>
        </w:tc>
        <w:tc>
          <w:tcPr>
            <w:tcW w:w="5386" w:type="dxa"/>
            <w:vAlign w:val="center"/>
          </w:tcPr>
          <w:p>
            <w:pPr>
              <w:pStyle w:val="13"/>
            </w:pPr>
            <w:r>
              <w:t>明显社会影响力</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5386" w:type="dxa"/>
            <w:vAlign w:val="center"/>
          </w:tcPr>
          <w:p>
            <w:pPr>
              <w:pStyle w:val="13"/>
            </w:pPr>
            <w:r>
              <w:t>生态效益提升值%</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调查结果准确性</w:t>
            </w:r>
          </w:p>
        </w:tc>
        <w:tc>
          <w:tcPr>
            <w:tcW w:w="5386" w:type="dxa"/>
            <w:vAlign w:val="center"/>
          </w:tcPr>
          <w:p>
            <w:pPr>
              <w:pStyle w:val="13"/>
            </w:pPr>
            <w:r>
              <w:t>调查结果准确性</w:t>
            </w:r>
          </w:p>
        </w:tc>
        <w:tc>
          <w:tcPr>
            <w:tcW w:w="2268" w:type="dxa"/>
            <w:vAlign w:val="center"/>
          </w:tcPr>
          <w:p>
            <w:pPr>
              <w:pStyle w:val="13"/>
            </w:pPr>
            <w:r>
              <w:t>≥97%</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对象满意度</w:t>
            </w:r>
          </w:p>
        </w:tc>
        <w:tc>
          <w:tcPr>
            <w:tcW w:w="2268" w:type="dxa"/>
            <w:vAlign w:val="center"/>
          </w:tcPr>
          <w:p>
            <w:pPr>
              <w:pStyle w:val="13"/>
            </w:pPr>
            <w:r>
              <w:t>≥96%</w:t>
            </w:r>
          </w:p>
        </w:tc>
        <w:tc>
          <w:tcPr>
            <w:tcW w:w="1276" w:type="dxa"/>
            <w:vAlign w:val="center"/>
          </w:tcPr>
          <w:p>
            <w:pPr>
              <w:pStyle w:val="13"/>
            </w:pPr>
            <w:r>
              <w:t>依据结果评定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14、省控站点运维保障费绩效目标表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13082625P00188610004M</w:t>
            </w:r>
          </w:p>
        </w:tc>
        <w:tc>
          <w:tcPr>
            <w:tcW w:w="2835" w:type="dxa"/>
            <w:vAlign w:val="center"/>
          </w:tcPr>
          <w:p>
            <w:pPr>
              <w:pStyle w:val="11"/>
            </w:pPr>
            <w:r>
              <w:t>项目名称</w:t>
            </w:r>
          </w:p>
        </w:tc>
        <w:tc>
          <w:tcPr>
            <w:tcW w:w="6095" w:type="dxa"/>
            <w:gridSpan w:val="3"/>
            <w:vAlign w:val="center"/>
          </w:tcPr>
          <w:p>
            <w:pPr>
              <w:pStyle w:val="13"/>
            </w:pPr>
            <w:r>
              <w:t>省控站点运维保障费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完成省控站站点的每日运行维护，保障站点正常运行</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1.完成省控站站点的每日运行维护，保障站点正常运行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项目数量</w:t>
            </w:r>
          </w:p>
        </w:tc>
        <w:tc>
          <w:tcPr>
            <w:tcW w:w="2268" w:type="dxa"/>
            <w:vAlign w:val="center"/>
          </w:tcPr>
          <w:p>
            <w:pPr>
              <w:pStyle w:val="13"/>
            </w:pPr>
            <w:r>
              <w:t>1个</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专款专用率</w:t>
            </w:r>
          </w:p>
          <w:p>
            <w:pPr>
              <w:pStyle w:val="13"/>
            </w:pPr>
          </w:p>
        </w:tc>
        <w:tc>
          <w:tcPr>
            <w:tcW w:w="5386" w:type="dxa"/>
            <w:vAlign w:val="center"/>
          </w:tcPr>
          <w:p>
            <w:pPr>
              <w:pStyle w:val="13"/>
            </w:pPr>
            <w:r>
              <w:t>专款专用率</w:t>
            </w:r>
          </w:p>
          <w:p>
            <w:pPr>
              <w:pStyle w:val="13"/>
            </w:pP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专项资金拨付及时率</w:t>
            </w:r>
          </w:p>
        </w:tc>
        <w:tc>
          <w:tcPr>
            <w:tcW w:w="5386" w:type="dxa"/>
            <w:vAlign w:val="center"/>
          </w:tcPr>
          <w:p>
            <w:pPr>
              <w:pStyle w:val="13"/>
            </w:pPr>
            <w:r>
              <w:t>专项资金拨付及时率</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购买软件、服务等总成本</w:t>
            </w:r>
          </w:p>
        </w:tc>
        <w:tc>
          <w:tcPr>
            <w:tcW w:w="5386" w:type="dxa"/>
            <w:vAlign w:val="center"/>
          </w:tcPr>
          <w:p>
            <w:pPr>
              <w:pStyle w:val="13"/>
            </w:pPr>
            <w:r>
              <w:t>购买软件、服务等总成本</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对区域出行的影响</w:t>
            </w:r>
          </w:p>
        </w:tc>
        <w:tc>
          <w:tcPr>
            <w:tcW w:w="5386" w:type="dxa"/>
            <w:vAlign w:val="center"/>
          </w:tcPr>
          <w:p>
            <w:pPr>
              <w:pStyle w:val="13"/>
            </w:pPr>
            <w:r>
              <w:t>对区域出行的影响</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对全省公路造价影响</w:t>
            </w:r>
          </w:p>
        </w:tc>
        <w:tc>
          <w:tcPr>
            <w:tcW w:w="5386" w:type="dxa"/>
            <w:vAlign w:val="center"/>
          </w:tcPr>
          <w:p>
            <w:pPr>
              <w:pStyle w:val="13"/>
            </w:pPr>
            <w:r>
              <w:t>对全省公路造价影响</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保障项目公司正常运营</w:t>
            </w:r>
          </w:p>
        </w:tc>
        <w:tc>
          <w:tcPr>
            <w:tcW w:w="5386" w:type="dxa"/>
            <w:vAlign w:val="center"/>
          </w:tcPr>
          <w:p>
            <w:pPr>
              <w:pStyle w:val="13"/>
            </w:pPr>
            <w:r>
              <w:t>保障项目公司正常运营</w:t>
            </w:r>
          </w:p>
        </w:tc>
        <w:tc>
          <w:tcPr>
            <w:tcW w:w="2268" w:type="dxa"/>
            <w:vAlign w:val="center"/>
          </w:tcPr>
          <w:p>
            <w:pPr>
              <w:pStyle w:val="13"/>
            </w:pPr>
            <w:r>
              <w:t>≥99%</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对象满意度</w:t>
            </w:r>
          </w:p>
        </w:tc>
        <w:tc>
          <w:tcPr>
            <w:tcW w:w="2268" w:type="dxa"/>
            <w:vAlign w:val="center"/>
          </w:tcPr>
          <w:p>
            <w:pPr>
              <w:pStyle w:val="13"/>
            </w:pPr>
            <w:r>
              <w:t>≥99%</w:t>
            </w:r>
          </w:p>
        </w:tc>
        <w:tc>
          <w:tcPr>
            <w:tcW w:w="1276" w:type="dxa"/>
            <w:vAlign w:val="center"/>
          </w:tcPr>
          <w:p>
            <w:pPr>
              <w:pStyle w:val="13"/>
            </w:pPr>
            <w:r>
              <w:t>依据结果评定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15、省控站站房建设及搬迁项目绩效目标表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13082625P003049100016</w:t>
            </w:r>
          </w:p>
        </w:tc>
        <w:tc>
          <w:tcPr>
            <w:tcW w:w="2835" w:type="dxa"/>
            <w:vAlign w:val="center"/>
          </w:tcPr>
          <w:p>
            <w:pPr>
              <w:pStyle w:val="11"/>
            </w:pPr>
            <w:r>
              <w:t>项目名称</w:t>
            </w:r>
          </w:p>
        </w:tc>
        <w:tc>
          <w:tcPr>
            <w:tcW w:w="6095" w:type="dxa"/>
            <w:gridSpan w:val="3"/>
            <w:vAlign w:val="center"/>
          </w:tcPr>
          <w:p>
            <w:pPr>
              <w:pStyle w:val="13"/>
            </w:pPr>
            <w:r>
              <w:t>省控站站房建设及搬迁项目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40.15</w:t>
            </w:r>
          </w:p>
        </w:tc>
        <w:tc>
          <w:tcPr>
            <w:tcW w:w="2835" w:type="dxa"/>
            <w:vAlign w:val="center"/>
          </w:tcPr>
          <w:p>
            <w:pPr>
              <w:pStyle w:val="11"/>
            </w:pPr>
            <w:r>
              <w:t>其中：财政    资金</w:t>
            </w:r>
          </w:p>
        </w:tc>
        <w:tc>
          <w:tcPr>
            <w:tcW w:w="2551" w:type="dxa"/>
            <w:vAlign w:val="center"/>
          </w:tcPr>
          <w:p>
            <w:pPr>
              <w:pStyle w:val="13"/>
            </w:pPr>
            <w:r>
              <w:t>40.15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省控站站点建设及搬迁项目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1.省控站站点建设及搬迁项目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项目数量</w:t>
            </w:r>
          </w:p>
        </w:tc>
        <w:tc>
          <w:tcPr>
            <w:tcW w:w="2268" w:type="dxa"/>
            <w:vAlign w:val="center"/>
          </w:tcPr>
          <w:p>
            <w:pPr>
              <w:pStyle w:val="13"/>
            </w:pPr>
            <w:r>
              <w:t>1个</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ab/>
            </w:r>
          </w:p>
          <w:p>
            <w:pPr>
              <w:pStyle w:val="13"/>
            </w:pPr>
            <w:r>
              <w:t>财政拨款保障率</w:t>
            </w:r>
          </w:p>
          <w:p>
            <w:pPr>
              <w:pStyle w:val="13"/>
            </w:pPr>
          </w:p>
        </w:tc>
        <w:tc>
          <w:tcPr>
            <w:tcW w:w="5386" w:type="dxa"/>
            <w:vAlign w:val="center"/>
          </w:tcPr>
          <w:p>
            <w:pPr>
              <w:pStyle w:val="13"/>
            </w:pPr>
            <w:r>
              <w:tab/>
            </w:r>
          </w:p>
          <w:p>
            <w:pPr>
              <w:pStyle w:val="13"/>
            </w:pPr>
            <w:r>
              <w:t>财政拨款保障率</w:t>
            </w:r>
          </w:p>
          <w:p>
            <w:pPr>
              <w:pStyle w:val="13"/>
            </w:pP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项目实施进度</w:t>
            </w:r>
          </w:p>
        </w:tc>
        <w:tc>
          <w:tcPr>
            <w:tcW w:w="5386" w:type="dxa"/>
            <w:vAlign w:val="center"/>
          </w:tcPr>
          <w:p>
            <w:pPr>
              <w:pStyle w:val="13"/>
            </w:pPr>
            <w:r>
              <w:t>6月底前完成招标，合同签订工作，10月底完成系统建设，12月底项目全部完成，进行验收，支付尾款</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≥95%</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促进区域经济社会发展情况</w:t>
            </w:r>
          </w:p>
        </w:tc>
        <w:tc>
          <w:tcPr>
            <w:tcW w:w="5386" w:type="dxa"/>
            <w:vAlign w:val="center"/>
          </w:tcPr>
          <w:p>
            <w:pPr>
              <w:pStyle w:val="13"/>
            </w:pPr>
            <w:r>
              <w:t>促进区域经济社会发展情况</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成果对社会影响力</w:t>
            </w:r>
          </w:p>
        </w:tc>
        <w:tc>
          <w:tcPr>
            <w:tcW w:w="5386" w:type="dxa"/>
            <w:vAlign w:val="center"/>
          </w:tcPr>
          <w:p>
            <w:pPr>
              <w:pStyle w:val="13"/>
            </w:pPr>
            <w:r>
              <w:t>成果对社会影响力</w:t>
            </w:r>
          </w:p>
        </w:tc>
        <w:tc>
          <w:tcPr>
            <w:tcW w:w="2268" w:type="dxa"/>
            <w:vAlign w:val="center"/>
          </w:tcPr>
          <w:p>
            <w:pPr>
              <w:pStyle w:val="13"/>
            </w:pPr>
            <w:r>
              <w:t>≥95%</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促进地区生态和谐发展情况</w:t>
            </w:r>
          </w:p>
        </w:tc>
        <w:tc>
          <w:tcPr>
            <w:tcW w:w="5386" w:type="dxa"/>
            <w:vAlign w:val="center"/>
          </w:tcPr>
          <w:p>
            <w:pPr>
              <w:pStyle w:val="13"/>
            </w:pPr>
            <w:r>
              <w:t>促进地区生态和谐发展情况</w:t>
            </w:r>
          </w:p>
        </w:tc>
        <w:tc>
          <w:tcPr>
            <w:tcW w:w="2268" w:type="dxa"/>
            <w:vAlign w:val="center"/>
          </w:tcPr>
          <w:p>
            <w:pPr>
              <w:pStyle w:val="13"/>
            </w:pPr>
            <w:r>
              <w:t>≥98%</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项目发挥作用情况</w:t>
            </w:r>
          </w:p>
        </w:tc>
        <w:tc>
          <w:tcPr>
            <w:tcW w:w="5386" w:type="dxa"/>
            <w:vAlign w:val="center"/>
          </w:tcPr>
          <w:p>
            <w:pPr>
              <w:pStyle w:val="13"/>
            </w:pPr>
            <w:r>
              <w:t>项目发挥作用情况</w:t>
            </w:r>
          </w:p>
        </w:tc>
        <w:tc>
          <w:tcPr>
            <w:tcW w:w="2268" w:type="dxa"/>
            <w:vAlign w:val="center"/>
          </w:tcPr>
          <w:p>
            <w:pPr>
              <w:pStyle w:val="13"/>
            </w:pPr>
            <w:r>
              <w:t>≥95%</w:t>
            </w:r>
          </w:p>
        </w:tc>
        <w:tc>
          <w:tcPr>
            <w:tcW w:w="1276" w:type="dxa"/>
            <w:vAlign w:val="center"/>
          </w:tcPr>
          <w:p>
            <w:pPr>
              <w:pStyle w:val="13"/>
            </w:pPr>
            <w:r>
              <w:t>依据结果评定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≥99%</w:t>
            </w:r>
          </w:p>
        </w:tc>
        <w:tc>
          <w:tcPr>
            <w:tcW w:w="1276" w:type="dxa"/>
            <w:vAlign w:val="center"/>
          </w:tcPr>
          <w:p>
            <w:pPr>
              <w:pStyle w:val="13"/>
            </w:pPr>
            <w:r>
              <w:t>依据结果评定</w:t>
            </w:r>
          </w:p>
        </w:tc>
      </w:tr>
    </w:tbl>
    <w:p>
      <w:pPr>
        <w:sectPr>
          <w:pgSz w:w="16840" w:h="11900" w:orient="landscape"/>
          <w:pgMar w:top="1361" w:right="1020" w:bottom="1134" w:left="1020" w:header="720" w:footer="720" w:gutter="0"/>
          <w:cols w:space="720" w:num="1"/>
        </w:sectPr>
      </w:pPr>
    </w:p>
    <w:p>
      <w:pPr>
        <w:spacing w:before="10" w:after="10"/>
        <w:ind w:firstLine="640"/>
        <w:outlineLvl w:val="2"/>
        <w:rPr>
          <w:rFonts w:ascii="黑体" w:hAnsi="黑体" w:eastAsia="黑体" w:cs="黑体"/>
          <w:color w:val="000000"/>
          <w:sz w:val="32"/>
          <w:lang w:eastAsia="zh-CN"/>
        </w:rPr>
      </w:pPr>
      <w:bookmarkStart w:id="14" w:name="_Toc_3_3_0000000017"/>
      <w:r>
        <w:rPr>
          <w:rFonts w:hint="eastAsia" w:ascii="黑体" w:hAnsi="黑体" w:eastAsia="黑体" w:cs="黑体"/>
          <w:color w:val="000000"/>
          <w:sz w:val="32"/>
          <w:lang w:eastAsia="zh-CN"/>
        </w:rPr>
        <w:t>七、部门项目预算安排情况及绩效目标</w:t>
      </w:r>
    </w:p>
    <w:p>
      <w:pPr>
        <w:spacing w:before="10" w:after="10"/>
        <w:ind w:firstLine="640"/>
        <w:outlineLvl w:val="2"/>
        <w:rPr>
          <w:rFonts w:ascii="黑体" w:hAnsi="黑体" w:eastAsia="黑体" w:cs="黑体"/>
          <w:color w:val="000000"/>
          <w:sz w:val="32"/>
          <w:lang w:eastAsia="zh-CN"/>
        </w:rPr>
      </w:pPr>
      <w:r>
        <w:rPr>
          <w:rFonts w:hint="eastAsia" w:ascii="黑体" w:hAnsi="黑体" w:eastAsia="黑体" w:cs="黑体"/>
          <w:color w:val="000000"/>
          <w:sz w:val="32"/>
          <w:lang w:eastAsia="zh-CN"/>
        </w:rPr>
        <w:t xml:space="preserve">   </w:t>
      </w:r>
    </w:p>
    <w:p>
      <w:pPr>
        <w:spacing w:before="10" w:after="10"/>
        <w:ind w:firstLine="640"/>
        <w:outlineLvl w:val="2"/>
      </w:pPr>
      <w:r>
        <w:rPr>
          <w:rFonts w:hint="eastAsia" w:ascii="黑体" w:hAnsi="黑体" w:eastAsia="黑体" w:cs="黑体"/>
          <w:color w:val="000000"/>
          <w:sz w:val="32"/>
          <w:lang w:eastAsia="zh-CN"/>
        </w:rPr>
        <w:t>八</w:t>
      </w:r>
      <w:r>
        <w:rPr>
          <w:rFonts w:ascii="黑体" w:hAnsi="黑体" w:eastAsia="黑体" w:cs="黑体"/>
          <w:color w:val="000000"/>
          <w:sz w:val="32"/>
        </w:rPr>
        <w:t>、政府采购预算情况</w:t>
      </w:r>
      <w:bookmarkEnd w:id="14"/>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467承德市生态环境局丰宁满族自治县分局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8"/>
      <w:r>
        <w:rPr>
          <w:rFonts w:hint="eastAsia" w:ascii="黑体" w:hAnsi="黑体" w:eastAsia="黑体" w:cs="黑体"/>
          <w:color w:val="000000"/>
          <w:sz w:val="32"/>
          <w:lang w:eastAsia="zh-CN"/>
        </w:rPr>
        <w:t>九</w:t>
      </w:r>
      <w:r>
        <w:rPr>
          <w:rFonts w:ascii="黑体" w:hAnsi="黑体" w:eastAsia="黑体" w:cs="黑体"/>
          <w:color w:val="000000"/>
          <w:sz w:val="32"/>
        </w:rPr>
        <w:t>、国有资产信息</w:t>
      </w:r>
      <w:bookmarkEnd w:id="15"/>
    </w:p>
    <w:p>
      <w:pPr>
        <w:spacing w:line="500" w:lineRule="exact"/>
        <w:ind w:firstLine="560"/>
      </w:pPr>
      <w:r>
        <w:rPr>
          <w:rFonts w:eastAsia="方正仿宋_GBK"/>
          <w:color w:val="000000"/>
          <w:sz w:val="28"/>
        </w:rPr>
        <w:t>承德市生态环境局丰宁满族自治县分局（含所属单位）上年末固定资产金额为159.93万元（详见下表）。本年度拟购置固定资产总额为0.00万元，已按要求列入政府采购预算，详见政府采购预算表。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467承德市生态环境局丰宁满族自治县分局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159.93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3"/>
            </w:pPr>
            <w:r>
              <w:t>1、房屋（平方米）</w:t>
            </w:r>
          </w:p>
        </w:tc>
        <w:tc>
          <w:tcPr>
            <w:tcW w:w="2835" w:type="dxa"/>
            <w:vAlign w:val="center"/>
          </w:tcPr>
          <w:p>
            <w:pPr>
              <w:pStyle w:val="14"/>
            </w:pPr>
            <w:r>
              <w:t>960</w:t>
            </w:r>
          </w:p>
        </w:tc>
        <w:tc>
          <w:tcPr>
            <w:tcW w:w="2835" w:type="dxa"/>
            <w:vAlign w:val="center"/>
          </w:tcPr>
          <w:p>
            <w:pPr>
              <w:pStyle w:val="12"/>
            </w:pPr>
            <w:r>
              <w:t>108.09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960</w:t>
            </w:r>
          </w:p>
        </w:tc>
        <w:tc>
          <w:tcPr>
            <w:tcW w:w="2835" w:type="dxa"/>
            <w:vAlign w:val="center"/>
          </w:tcPr>
          <w:p>
            <w:pPr>
              <w:pStyle w:val="12"/>
            </w:pPr>
            <w:r>
              <w:t>108.09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3</w:t>
            </w:r>
          </w:p>
        </w:tc>
        <w:tc>
          <w:tcPr>
            <w:tcW w:w="2835" w:type="dxa"/>
            <w:vAlign w:val="center"/>
          </w:tcPr>
          <w:p>
            <w:pPr>
              <w:pStyle w:val="12"/>
            </w:pPr>
            <w:r>
              <w:t>51.84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ind w:firstLine="640"/>
      </w:pPr>
      <w:r>
        <w:rPr>
          <w:rFonts w:eastAsia="方正仿宋_GBK"/>
          <w:color w:val="000000"/>
          <w:sz w:val="32"/>
        </w:rPr>
        <w:t xml:space="preserve"> </w:t>
      </w:r>
    </w:p>
    <w:p>
      <w:pPr>
        <w:spacing w:before="10" w:after="10"/>
        <w:ind w:firstLine="640"/>
        <w:outlineLvl w:val="2"/>
      </w:pPr>
      <w:bookmarkStart w:id="16" w:name="_Toc_3_3_0000000019"/>
      <w:r>
        <w:rPr>
          <w:rFonts w:hint="eastAsia" w:ascii="黑体" w:hAnsi="黑体" w:eastAsia="黑体" w:cs="黑体"/>
          <w:color w:val="000000"/>
          <w:sz w:val="32"/>
          <w:lang w:eastAsia="zh-CN"/>
        </w:rPr>
        <w:t>十</w:t>
      </w:r>
      <w:r>
        <w:rPr>
          <w:rFonts w:ascii="黑体" w:hAnsi="黑体" w:eastAsia="黑体" w:cs="黑体"/>
          <w:color w:val="000000"/>
          <w:sz w:val="32"/>
        </w:rPr>
        <w:t>、名词解释</w:t>
      </w:r>
      <w:bookmarkEnd w:id="16"/>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10" w:after="10"/>
        <w:ind w:firstLine="640"/>
        <w:outlineLvl w:val="2"/>
      </w:pPr>
      <w:bookmarkStart w:id="17" w:name="_Toc_3_3_0000000020"/>
      <w:r>
        <w:rPr>
          <w:rFonts w:hint="eastAsia" w:ascii="黑体" w:hAnsi="黑体" w:eastAsia="黑体" w:cs="黑体"/>
          <w:color w:val="000000"/>
          <w:sz w:val="32"/>
          <w:lang w:eastAsia="zh-CN"/>
        </w:rPr>
        <w:t>十一</w:t>
      </w:r>
      <w:r>
        <w:rPr>
          <w:rFonts w:ascii="黑体" w:hAnsi="黑体" w:eastAsia="黑体" w:cs="黑体"/>
          <w:color w:val="000000"/>
          <w:sz w:val="32"/>
        </w:rPr>
        <w:t>、其他需要说明的事项</w:t>
      </w:r>
      <w:bookmarkEnd w:id="17"/>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490AB2"/>
    <w:rsid w:val="00030A46"/>
    <w:rsid w:val="00150E48"/>
    <w:rsid w:val="00311F43"/>
    <w:rsid w:val="00457C15"/>
    <w:rsid w:val="00490AB2"/>
    <w:rsid w:val="005A6E59"/>
    <w:rsid w:val="005C6861"/>
    <w:rsid w:val="00701C73"/>
    <w:rsid w:val="009339A0"/>
    <w:rsid w:val="009B7834"/>
    <w:rsid w:val="00AF107D"/>
    <w:rsid w:val="00BA1A93"/>
    <w:rsid w:val="00C654F0"/>
    <w:rsid w:val="00C7155D"/>
    <w:rsid w:val="00DD7342"/>
    <w:rsid w:val="3CFE2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1"/>
    <w:qFormat/>
    <w:uiPriority w:val="1"/>
    <w:pPr>
      <w:widowControl w:val="0"/>
      <w:autoSpaceDE w:val="0"/>
      <w:autoSpaceDN w:val="0"/>
    </w:pPr>
    <w:rPr>
      <w:rFonts w:ascii="宋体" w:hAnsi="宋体" w:eastAsia="宋体" w:cs="宋体"/>
      <w:sz w:val="28"/>
      <w:szCs w:val="28"/>
      <w:lang w:eastAsia="zh-CN"/>
    </w:rPr>
  </w:style>
  <w:style w:type="paragraph" w:styleId="3">
    <w:name w:val="footer"/>
    <w:basedOn w:val="1"/>
    <w:link w:val="30"/>
    <w:semiHidden/>
    <w:unhideWhenUsed/>
    <w:qFormat/>
    <w:uiPriority w:val="99"/>
    <w:pPr>
      <w:tabs>
        <w:tab w:val="center" w:pos="4153"/>
        <w:tab w:val="right" w:pos="8306"/>
      </w:tabs>
      <w:snapToGrid w:val="0"/>
    </w:pPr>
    <w:rPr>
      <w:sz w:val="18"/>
      <w:szCs w:val="18"/>
    </w:rPr>
  </w:style>
  <w:style w:type="paragraph" w:styleId="4">
    <w:name w:val="header"/>
    <w:basedOn w:val="1"/>
    <w:link w:val="2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6">
    <w:name w:val="TOC 2"/>
    <w:basedOn w:val="1"/>
    <w:qFormat/>
    <w:uiPriority w:val="0"/>
    <w:pPr>
      <w:ind w:left="240"/>
    </w:pPr>
  </w:style>
  <w:style w:type="paragraph" w:customStyle="1" w:styleId="27">
    <w:name w:val="TOC 3"/>
    <w:basedOn w:val="1"/>
    <w:qFormat/>
    <w:uiPriority w:val="0"/>
    <w:pPr>
      <w:ind w:left="480"/>
    </w:pPr>
  </w:style>
  <w:style w:type="paragraph" w:customStyle="1" w:styleId="28">
    <w:name w:val="TOC 1"/>
    <w:basedOn w:val="1"/>
    <w:qFormat/>
    <w:uiPriority w:val="0"/>
    <w:pPr>
      <w:spacing w:before="120"/>
      <w:ind w:firstLine="560"/>
    </w:pPr>
    <w:rPr>
      <w:rFonts w:eastAsia="方正仿宋_GBK"/>
      <w:color w:val="000000"/>
      <w:sz w:val="28"/>
    </w:rPr>
  </w:style>
  <w:style w:type="character" w:customStyle="1" w:styleId="29">
    <w:name w:val="页眉 Char"/>
    <w:basedOn w:val="7"/>
    <w:link w:val="4"/>
    <w:semiHidden/>
    <w:qFormat/>
    <w:uiPriority w:val="99"/>
    <w:rPr>
      <w:rFonts w:eastAsia="Times New Roman"/>
      <w:sz w:val="18"/>
      <w:szCs w:val="18"/>
      <w:lang w:eastAsia="uk-UA"/>
    </w:rPr>
  </w:style>
  <w:style w:type="character" w:customStyle="1" w:styleId="30">
    <w:name w:val="页脚 Char"/>
    <w:basedOn w:val="7"/>
    <w:link w:val="3"/>
    <w:semiHidden/>
    <w:qFormat/>
    <w:uiPriority w:val="99"/>
    <w:rPr>
      <w:rFonts w:eastAsia="Times New Roman"/>
      <w:sz w:val="18"/>
      <w:szCs w:val="18"/>
      <w:lang w:eastAsia="uk-UA"/>
    </w:rPr>
  </w:style>
  <w:style w:type="character" w:customStyle="1" w:styleId="31">
    <w:name w:val="正文文本 Char"/>
    <w:basedOn w:val="7"/>
    <w:link w:val="2"/>
    <w:qFormat/>
    <w:uiPriority w:val="1"/>
    <w:rPr>
      <w:rFonts w:ascii="宋体" w:hAnsi="宋体" w:eastAsia="宋体" w:cs="宋体"/>
      <w:sz w:val="28"/>
      <w:szCs w:val="28"/>
    </w:rPr>
  </w:style>
  <w:style w:type="paragraph" w:customStyle="1" w:styleId="32">
    <w:name w:val="[Normal]"/>
    <w:qFormat/>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Company>
  <Pages>43</Pages>
  <Words>2857</Words>
  <Characters>16291</Characters>
  <Lines>135</Lines>
  <Paragraphs>38</Paragraphs>
  <TotalTime>35</TotalTime>
  <ScaleCrop>false</ScaleCrop>
  <LinksUpToDate>false</LinksUpToDate>
  <CharactersWithSpaces>19110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2025-03-06T01:16:00Z</dcterms:created>
  <dc:creator>zfb</dc:creator>
  <cp:lastModifiedBy>Node</cp:lastModifiedBy>
  <dcterms:modified xsi:type="dcterms:W3CDTF">2025-03-19T15:07:13Z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83CFDBF091687C1C216DDA675AC4F4C2_42</vt:lpwstr>
  </property>
</Properties>
</file>